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47BC45" w14:textId="77777777" w:rsidR="00875DA4" w:rsidRDefault="00875DA4">
      <w:pPr>
        <w:rPr>
          <w:sz w:val="28"/>
          <w:szCs w:val="28"/>
        </w:rPr>
      </w:pPr>
    </w:p>
    <w:p w14:paraId="5B0E64DA" w14:textId="77777777" w:rsidR="00875DA4" w:rsidRPr="00E33265" w:rsidRDefault="00E33265">
      <w:pPr>
        <w:jc w:val="center"/>
        <w:rPr>
          <w:b/>
          <w:bCs/>
          <w:sz w:val="28"/>
          <w:szCs w:val="28"/>
          <w:lang w:val="it-IT"/>
        </w:rPr>
      </w:pPr>
      <w:r w:rsidRPr="00E33265">
        <w:rPr>
          <w:b/>
          <w:bCs/>
          <w:sz w:val="28"/>
          <w:szCs w:val="28"/>
          <w:lang w:val="it-IT"/>
        </w:rPr>
        <w:t xml:space="preserve">TBA21–Academy presenta </w:t>
      </w:r>
      <w:r w:rsidRPr="00E33265">
        <w:rPr>
          <w:b/>
          <w:bCs/>
          <w:i/>
          <w:iCs/>
          <w:sz w:val="28"/>
          <w:szCs w:val="28"/>
          <w:lang w:val="it-IT"/>
        </w:rPr>
        <w:t xml:space="preserve">Tide of Returns </w:t>
      </w:r>
      <w:r w:rsidRPr="00E33265">
        <w:rPr>
          <w:b/>
          <w:bCs/>
          <w:sz w:val="28"/>
          <w:szCs w:val="28"/>
          <w:lang w:val="it-IT"/>
        </w:rPr>
        <w:t>[Onde di Ritorni]: una risposta collettiva al rimpatrio di beni culturali attraverso atti cerimoniali di riparazione</w:t>
      </w:r>
    </w:p>
    <w:p w14:paraId="523FEB78" w14:textId="77777777" w:rsidR="00875DA4" w:rsidRPr="00E33265" w:rsidRDefault="00E33265">
      <w:pPr>
        <w:jc w:val="center"/>
        <w:rPr>
          <w:lang w:val="it-IT"/>
        </w:rPr>
      </w:pPr>
      <w:r w:rsidRPr="00E33265">
        <w:rPr>
          <w:lang w:val="it-IT"/>
        </w:rPr>
        <w:t xml:space="preserve"> </w:t>
      </w:r>
    </w:p>
    <w:p w14:paraId="79392E83" w14:textId="77777777" w:rsidR="00875DA4" w:rsidRPr="00E33265" w:rsidRDefault="00E33265">
      <w:pPr>
        <w:jc w:val="center"/>
        <w:rPr>
          <w:lang w:val="it-IT"/>
        </w:rPr>
      </w:pPr>
      <w:r w:rsidRPr="00E33265">
        <w:rPr>
          <w:lang w:val="it-IT"/>
        </w:rPr>
        <w:t>​​●</w:t>
      </w:r>
      <w:r w:rsidRPr="00E33265">
        <w:rPr>
          <w:lang w:val="it-IT"/>
        </w:rPr>
        <w:t xml:space="preserve"> Commissionate da TBA21–Academy e concepite per Ocean Space, verranno presentate due grandi installazioni site-specific del Repatriates Collective, che esplora il ruolo delle arti e dell’acqua nei processi di restituzione e rimpatrio culturale</w:t>
      </w:r>
    </w:p>
    <w:p w14:paraId="21BA4237" w14:textId="77777777" w:rsidR="00875DA4" w:rsidRPr="00E33265" w:rsidRDefault="00E33265">
      <w:pPr>
        <w:spacing w:before="240" w:after="240"/>
        <w:ind w:left="1080" w:hanging="360"/>
        <w:jc w:val="center"/>
        <w:rPr>
          <w:lang w:val="it-IT"/>
        </w:rPr>
      </w:pPr>
      <w:r w:rsidRPr="00E33265">
        <w:rPr>
          <w:rFonts w:ascii="Times New Roman" w:eastAsia="Times New Roman" w:hAnsi="Times New Roman" w:cs="Times New Roman"/>
          <w:sz w:val="14"/>
          <w:szCs w:val="14"/>
          <w:lang w:val="it-IT"/>
        </w:rPr>
        <w:t xml:space="preserve">     </w:t>
      </w:r>
      <w:r w:rsidRPr="00E33265">
        <w:rPr>
          <w:rFonts w:ascii="Times New Roman" w:eastAsia="Times New Roman" w:hAnsi="Times New Roman" w:cs="Times New Roman"/>
          <w:sz w:val="14"/>
          <w:szCs w:val="14"/>
          <w:lang w:val="it-IT"/>
        </w:rPr>
        <w:tab/>
      </w:r>
      <w:r w:rsidRPr="00E33265">
        <w:rPr>
          <w:lang w:val="it-IT"/>
        </w:rPr>
        <w:t>● Attraverso opere video, sonore e tessili, le installazioni adottano le prospettive indigene per promuovere la conservazione culturale e la rigenerazione ambientale in due nuove commissioni multimediali nell’ex Chiesa di San Lorenzo</w:t>
      </w:r>
    </w:p>
    <w:p w14:paraId="018AFDBE" w14:textId="77777777" w:rsidR="00875DA4" w:rsidRPr="00E33265" w:rsidRDefault="00E33265">
      <w:pPr>
        <w:spacing w:before="240" w:after="240"/>
        <w:jc w:val="both"/>
        <w:rPr>
          <w:lang w:val="it-IT"/>
        </w:rPr>
      </w:pPr>
      <w:r w:rsidRPr="00E33265">
        <w:rPr>
          <w:lang w:val="it-IT"/>
        </w:rPr>
        <w:t xml:space="preserve">Venezia, 27 marzo 2026 – Ad aprire la stagione espositiva 2026 di Ocean Space, </w:t>
      </w:r>
      <w:r w:rsidRPr="00E33265">
        <w:rPr>
          <w:b/>
          <w:bCs/>
          <w:lang w:val="it-IT"/>
        </w:rPr>
        <w:t xml:space="preserve">TBA21–Academy </w:t>
      </w:r>
      <w:r w:rsidRPr="00E33265">
        <w:rPr>
          <w:lang w:val="it-IT"/>
        </w:rPr>
        <w:t xml:space="preserve">presenta </w:t>
      </w:r>
      <w:r w:rsidRPr="00E33265">
        <w:rPr>
          <w:b/>
          <w:bCs/>
          <w:i/>
          <w:iCs/>
          <w:lang w:val="it-IT"/>
        </w:rPr>
        <w:t xml:space="preserve">Tide of Returns </w:t>
      </w:r>
      <w:r w:rsidRPr="00E33265">
        <w:rPr>
          <w:lang w:val="it-IT"/>
        </w:rPr>
        <w:t xml:space="preserve">[Onde di Ritorni], una mostra in programma dal 28 marzo all’11 ottobre, incentrata sulla ricerca artistica del </w:t>
      </w:r>
      <w:r w:rsidRPr="00E33265">
        <w:rPr>
          <w:b/>
          <w:bCs/>
          <w:lang w:val="it-IT"/>
        </w:rPr>
        <w:t>Repatriates Collective</w:t>
      </w:r>
      <w:r w:rsidRPr="00E33265">
        <w:rPr>
          <w:lang w:val="it-IT"/>
        </w:rPr>
        <w:t xml:space="preserve">, un collettivo di artiste e artisti provenienti dal </w:t>
      </w:r>
      <w:r w:rsidRPr="00E33265">
        <w:rPr>
          <w:b/>
          <w:bCs/>
          <w:lang w:val="it-IT"/>
        </w:rPr>
        <w:t xml:space="preserve">Pacifico del Nord dell’Australia, dall’Africa meridionale e occidentale, dall’Europa </w:t>
      </w:r>
      <w:r w:rsidRPr="00E33265">
        <w:rPr>
          <w:lang w:val="it-IT"/>
        </w:rPr>
        <w:t>e</w:t>
      </w:r>
      <w:r w:rsidRPr="00E33265">
        <w:rPr>
          <w:b/>
          <w:bCs/>
          <w:lang w:val="it-IT"/>
        </w:rPr>
        <w:t xml:space="preserve"> dall’America Latina</w:t>
      </w:r>
      <w:r w:rsidRPr="00E33265">
        <w:rPr>
          <w:lang w:val="it-IT"/>
        </w:rPr>
        <w:t>.</w:t>
      </w:r>
    </w:p>
    <w:p w14:paraId="4C35199F" w14:textId="77777777" w:rsidR="00875DA4" w:rsidRPr="00E33265" w:rsidRDefault="00E33265">
      <w:pPr>
        <w:jc w:val="both"/>
        <w:rPr>
          <w:lang w:val="it-IT"/>
        </w:rPr>
      </w:pPr>
      <w:r w:rsidRPr="00E33265">
        <w:rPr>
          <w:lang w:val="it-IT"/>
        </w:rPr>
        <w:t>Per Markus Reymann, Co-Direttore di TBA21 Thyssen-Bornemisza Art Contemporary, la presentazione di questa ricerca a Ocean Space, nell'ex Chiesa di San Lorenzo a Venezia (che dal 2019 è la sede di TBA21–Academy per la produzione espositiva e la programmazione sperimentale), non è una coincidenza. "La Chiesa di San Lorenzo non è un white cube. È un edificio plasmato da secoli di commercio, fede, impero e dalla continua circolazione di ambizioni politiche, persone e merci attraverso il Mediterraneo; respira co</w:t>
      </w:r>
      <w:r w:rsidRPr="00E33265">
        <w:rPr>
          <w:lang w:val="it-IT"/>
        </w:rPr>
        <w:t>n la laguna e porta tra le sue mura i residui di storie che chiedono di essere lette diversamente. L'incontro tra la pratica del Collettivo e la chiesa di San Lorenzo produce qualcosa che va oltre la documentazione: un confronto con le forze dello spostamento che sono tanto presenti nella storia stessa di Venezia quanto negli archivi e nelle comunità con cui le/gli artisti si sono confrontate/i."</w:t>
      </w:r>
    </w:p>
    <w:p w14:paraId="2C24BA10" w14:textId="77777777" w:rsidR="00875DA4" w:rsidRPr="00E33265" w:rsidRDefault="00E33265">
      <w:pPr>
        <w:jc w:val="both"/>
        <w:rPr>
          <w:lang w:val="it-IT"/>
        </w:rPr>
      </w:pPr>
      <w:r w:rsidRPr="00E33265">
        <w:rPr>
          <w:lang w:val="it-IT"/>
        </w:rPr>
        <w:t xml:space="preserve"> </w:t>
      </w:r>
    </w:p>
    <w:p w14:paraId="1802B9D4" w14:textId="77777777" w:rsidR="00875DA4" w:rsidRPr="00E33265" w:rsidRDefault="00E33265">
      <w:pPr>
        <w:jc w:val="both"/>
        <w:rPr>
          <w:lang w:val="it-IT"/>
        </w:rPr>
      </w:pPr>
      <w:r w:rsidRPr="00E33265">
        <w:rPr>
          <w:lang w:val="it-IT"/>
        </w:rPr>
        <w:t xml:space="preserve">A cura di </w:t>
      </w:r>
      <w:r w:rsidRPr="00E33265">
        <w:rPr>
          <w:b/>
          <w:bCs/>
          <w:highlight w:val="white"/>
          <w:lang w:val="it-IT"/>
        </w:rPr>
        <w:t xml:space="preserve">Khadija von Zinnenburg Carroll, </w:t>
      </w:r>
      <w:r w:rsidRPr="00E33265">
        <w:rPr>
          <w:i/>
          <w:iCs/>
          <w:lang w:val="it-IT"/>
        </w:rPr>
        <w:t xml:space="preserve">Tide of Returns </w:t>
      </w:r>
      <w:r w:rsidRPr="00E33265">
        <w:rPr>
          <w:lang w:val="it-IT"/>
        </w:rPr>
        <w:t>[Onde di Ritorni] nasce dai tanti piccoli rituali che costituiscono la saggezza ecologica e la cura delle/gli artiste/i. In dialogo con le cosmovisioni indigene e con il potere modellante dell’acqua, le opere esposte esplorano la possibilità di superare certe forme di violenza culturale, sociale e ambientale. La mostra è un atto cerimoniale di riappropriazione; una sorta di ritorno a casa che va oltre l’attivismo, alla ricerca di una forma profonda di resisten</w:t>
      </w:r>
      <w:r w:rsidRPr="00E33265">
        <w:rPr>
          <w:lang w:val="it-IT"/>
        </w:rPr>
        <w:t>za. Le opere esposte raccontano le storie delle comunità, delle loro pratiche, delle/i loro antenate/i e dei loro legami di parentela.</w:t>
      </w:r>
    </w:p>
    <w:p w14:paraId="3B9FAE77" w14:textId="77777777" w:rsidR="00875DA4" w:rsidRPr="00E33265" w:rsidRDefault="00E33265">
      <w:pPr>
        <w:jc w:val="both"/>
        <w:rPr>
          <w:lang w:val="it-IT"/>
        </w:rPr>
      </w:pPr>
      <w:r w:rsidRPr="00E33265">
        <w:rPr>
          <w:lang w:val="it-IT"/>
        </w:rPr>
        <w:t xml:space="preserve"> </w:t>
      </w:r>
    </w:p>
    <w:p w14:paraId="77F4EAC3" w14:textId="77777777" w:rsidR="00875DA4" w:rsidRPr="00E33265" w:rsidRDefault="00E33265">
      <w:pPr>
        <w:jc w:val="both"/>
        <w:rPr>
          <w:lang w:val="it-IT"/>
        </w:rPr>
      </w:pPr>
      <w:r w:rsidRPr="00E33265">
        <w:rPr>
          <w:lang w:val="it-IT"/>
        </w:rPr>
        <w:t xml:space="preserve">Le due navate dell’ex Chiesa di San Lorenzo ospiteranno opere multimediali appositamente commissionate. Nella navata ovest, il </w:t>
      </w:r>
      <w:r w:rsidRPr="00E33265">
        <w:rPr>
          <w:b/>
          <w:bCs/>
          <w:lang w:val="it-IT"/>
        </w:rPr>
        <w:t>Repatriates Collective</w:t>
      </w:r>
      <w:r w:rsidRPr="00E33265">
        <w:rPr>
          <w:lang w:val="it-IT"/>
        </w:rPr>
        <w:t xml:space="preserve"> accoglie il pubblico in un’installazione immersiva che combina sabbia, migliaia di bambole realizzate con conchiglie e tessuti, video e suono. Il paesaggio sonoro dello spazio e del film – insieme alla topografia delle dune di sabbia – evoca la credenza aborigena che il suono trasporti la saggezza attraverso </w:t>
      </w:r>
      <w:r w:rsidRPr="00E33265">
        <w:rPr>
          <w:lang w:val="it-IT"/>
        </w:rPr>
        <w:lastRenderedPageBreak/>
        <w:t xml:space="preserve">l’acqua. Nella navata est, un’installazione tessile-video di </w:t>
      </w:r>
      <w:r w:rsidRPr="00E33265">
        <w:rPr>
          <w:b/>
          <w:bCs/>
          <w:lang w:val="it-IT"/>
        </w:rPr>
        <w:t>Verena Melgarejo Weinandt</w:t>
      </w:r>
      <w:r w:rsidRPr="00E33265">
        <w:rPr>
          <w:lang w:val="it-IT"/>
        </w:rPr>
        <w:t xml:space="preserve"> ripercorre gesti di cura, appartenenza e guarigione collettiva. Lo spazio è occupato da tess</w:t>
      </w:r>
      <w:r w:rsidRPr="00E33265">
        <w:rPr>
          <w:lang w:val="it-IT"/>
        </w:rPr>
        <w:t>uti intrecciati delle tonalità del blu, attraversati da trecce nere che richiamano lo scorrere dell’acqua ma anche le ciocche di capelli. Integrato nel paesaggio tessile, un video a tre canali segue una performance di preparazione, intreccio e lavaggio dei tessuti in un fiume.</w:t>
      </w:r>
    </w:p>
    <w:p w14:paraId="09DF2B63" w14:textId="77777777" w:rsidR="00875DA4" w:rsidRPr="00E33265" w:rsidRDefault="00E33265">
      <w:pPr>
        <w:jc w:val="both"/>
        <w:rPr>
          <w:lang w:val="it-IT"/>
        </w:rPr>
      </w:pPr>
      <w:r w:rsidRPr="00E33265">
        <w:rPr>
          <w:lang w:val="it-IT"/>
        </w:rPr>
        <w:t xml:space="preserve"> </w:t>
      </w:r>
    </w:p>
    <w:p w14:paraId="519021D9" w14:textId="77777777" w:rsidR="00875DA4" w:rsidRPr="00E33265" w:rsidRDefault="00E33265">
      <w:pPr>
        <w:jc w:val="both"/>
        <w:rPr>
          <w:b/>
          <w:bCs/>
          <w:u w:val="single"/>
          <w:lang w:val="it-IT"/>
        </w:rPr>
      </w:pPr>
      <w:r w:rsidRPr="00E33265">
        <w:rPr>
          <w:b/>
          <w:bCs/>
          <w:u w:val="single"/>
          <w:lang w:val="it-IT"/>
        </w:rPr>
        <w:t xml:space="preserve"> </w:t>
      </w:r>
    </w:p>
    <w:p w14:paraId="216F541B" w14:textId="77777777" w:rsidR="00875DA4" w:rsidRPr="00E33265" w:rsidRDefault="00E33265">
      <w:pPr>
        <w:spacing w:after="160" w:line="299" w:lineRule="auto"/>
        <w:jc w:val="both"/>
        <w:rPr>
          <w:lang w:val="it-IT"/>
        </w:rPr>
      </w:pPr>
      <w:r w:rsidRPr="00E33265">
        <w:rPr>
          <w:lang w:val="it-IT"/>
        </w:rPr>
        <w:t>“Questa mostra tenta semplicemente di migliorare la condizione umana cambiando la nostra percezione e quindi i nostri modi di stare insieme. Soltanto quando riusciremo a percepire profondamente il nostro essere interconnessi potremo mettere in pratica la cura di cui abbiamo bisogno. È un’utopia: un esercito di donne che crea un modello di relazioni in cui il più che umano riconosce sé stesso e l’altro in modo nuovo. Queste donne ci guidano nell’insegnamento intergenerazionale delle storie che daranno al fut</w:t>
      </w:r>
      <w:r w:rsidRPr="00E33265">
        <w:rPr>
          <w:lang w:val="it-IT"/>
        </w:rPr>
        <w:t>uro speranza, amore e un modo di trasmettere saperi culturali a coloro che sanno ascoltare le voci più quiete e sommesse.” – Khadija von Zinnenburg Carroll, curatrice della mostra.</w:t>
      </w:r>
    </w:p>
    <w:p w14:paraId="46FA5438" w14:textId="77777777" w:rsidR="00875DA4" w:rsidRPr="00E33265" w:rsidRDefault="00E33265">
      <w:pPr>
        <w:jc w:val="both"/>
        <w:rPr>
          <w:lang w:val="it-IT"/>
        </w:rPr>
      </w:pPr>
      <w:r w:rsidRPr="00E33265">
        <w:rPr>
          <w:lang w:val="it-IT"/>
        </w:rPr>
        <w:t xml:space="preserve"> </w:t>
      </w:r>
    </w:p>
    <w:p w14:paraId="0C7DBBF8" w14:textId="77777777" w:rsidR="00875DA4" w:rsidRPr="00E33265" w:rsidRDefault="00E33265">
      <w:pPr>
        <w:jc w:val="both"/>
        <w:rPr>
          <w:lang w:val="it-IT"/>
        </w:rPr>
      </w:pPr>
      <w:r w:rsidRPr="00E33265">
        <w:rPr>
          <w:lang w:val="it-IT"/>
        </w:rPr>
        <w:t xml:space="preserve">Costruita a partire dai gesti del dare e del ricevere, la mostra </w:t>
      </w:r>
      <w:r w:rsidRPr="00E33265">
        <w:rPr>
          <w:i/>
          <w:iCs/>
          <w:lang w:val="it-IT"/>
        </w:rPr>
        <w:t>Tide of Returns</w:t>
      </w:r>
      <w:r w:rsidRPr="00E33265">
        <w:rPr>
          <w:lang w:val="it-IT"/>
        </w:rPr>
        <w:t xml:space="preserve"> a Ocean Space ci invita nei flussi e riflussi dei movimenti delle maree, che porteranno altre cose negli anni a venire. Attraverso installazioni immersive site-specific, la mostra ridefinisce la nozione di “ritorno”, trasformando la restituzione culturale da rivendicazione politica ad atto di cura collettiva, trasmissione tra generazioni e sopravvivenza culturale.</w:t>
      </w:r>
    </w:p>
    <w:p w14:paraId="4EA0C17B" w14:textId="77777777" w:rsidR="00875DA4" w:rsidRPr="00E33265" w:rsidRDefault="00E33265">
      <w:pPr>
        <w:jc w:val="both"/>
        <w:rPr>
          <w:lang w:val="it-IT"/>
        </w:rPr>
      </w:pPr>
      <w:r w:rsidRPr="00E33265">
        <w:rPr>
          <w:lang w:val="it-IT"/>
        </w:rPr>
        <w:t xml:space="preserve"> </w:t>
      </w:r>
    </w:p>
    <w:p w14:paraId="082B61DB" w14:textId="77777777" w:rsidR="00875DA4" w:rsidRPr="00E33265" w:rsidRDefault="00E33265">
      <w:pPr>
        <w:jc w:val="both"/>
        <w:rPr>
          <w:lang w:val="it-IT"/>
        </w:rPr>
      </w:pPr>
      <w:r>
        <w:t xml:space="preserve">Accanto a </w:t>
      </w:r>
      <w:r>
        <w:rPr>
          <w:i/>
          <w:iCs/>
        </w:rPr>
        <w:t>Tide of Returns</w:t>
      </w:r>
      <w:r>
        <w:t xml:space="preserve">, nella Research Room, Ocean Space presenta il policy lab </w:t>
      </w:r>
      <w:r>
        <w:rPr>
          <w:b/>
          <w:bCs/>
          <w:i/>
          <w:iCs/>
        </w:rPr>
        <w:t xml:space="preserve">Nature Speaks. </w:t>
      </w:r>
      <w:r w:rsidRPr="00E33265">
        <w:rPr>
          <w:b/>
          <w:bCs/>
          <w:i/>
          <w:iCs/>
          <w:lang w:val="it-IT"/>
        </w:rPr>
        <w:t>Ascoltare i Diritti della Natura a Venezia e in Europa</w:t>
      </w:r>
      <w:r w:rsidRPr="00E33265">
        <w:rPr>
          <w:lang w:val="it-IT"/>
        </w:rPr>
        <w:t>, a cura di Pietro Consolandi e Amalia Rossi. Coprodotto insieme a NICHE Centre for Environmental Humanities dell’Università Ca’ Foscari di Venezia, questo spazio funge da laboratorio aperto dove la comunità veneziana può esplorare collettivamente la possibilità di un nuovo orizzonte politico: promuovere il riconoscimento della Laguna di Venezia come entità giuridica per la legge italiana, europea e internazionale. Questo progetto, che giunge in un momen</w:t>
      </w:r>
      <w:r w:rsidRPr="00E33265">
        <w:rPr>
          <w:lang w:val="it-IT"/>
        </w:rPr>
        <w:t>to decisivo nella lotta per i diritti dell’ecosistema in Europa e nel mondo, è sviluppato con la fondamentale collaborazione di due reti di attivisti: IDRA – Iniziativa per i Diritti delle Reti d’Acqua e la Confluence of European Water Bodies.</w:t>
      </w:r>
    </w:p>
    <w:p w14:paraId="0355BDB1" w14:textId="77777777" w:rsidR="00875DA4" w:rsidRPr="00E33265" w:rsidRDefault="00E33265">
      <w:pPr>
        <w:jc w:val="both"/>
        <w:rPr>
          <w:lang w:val="it-IT"/>
        </w:rPr>
      </w:pPr>
      <w:r w:rsidRPr="00E33265">
        <w:rPr>
          <w:lang w:val="it-IT"/>
        </w:rPr>
        <w:t xml:space="preserve"> </w:t>
      </w:r>
    </w:p>
    <w:p w14:paraId="0B5AEC72" w14:textId="77777777" w:rsidR="00875DA4" w:rsidRPr="00E33265" w:rsidRDefault="00E33265">
      <w:pPr>
        <w:jc w:val="both"/>
        <w:rPr>
          <w:lang w:val="it-IT"/>
        </w:rPr>
      </w:pPr>
      <w:r w:rsidRPr="00E33265">
        <w:rPr>
          <w:lang w:val="it-IT"/>
        </w:rPr>
        <w:t>Questa mostra è emblematica dell’approccio scrupoloso di TBA21 Thyssen-Bornemisza Art Contemporary alla commissione di opere e alla realizzazione di eventi espositivi. Dal 2022, la fondazione per l’arte e il patrocinio ha commissionato pratiche artistiche che reimmaginano il mondo attraverso il sostegno a lungo termine di una ricerca collaborativa, transdisciplinare e condotta dalle artiste e dagli artisti, che alimenti il dialogo interculturale. La missione pluriennale di TBA21 Thyssen-Bornemisza Art Conte</w:t>
      </w:r>
      <w:r w:rsidRPr="00E33265">
        <w:rPr>
          <w:lang w:val="it-IT"/>
        </w:rPr>
        <w:t>mporary è quella di lavorare a stretto contatto con artiste/i e organizzazioni in tutto il mondo per promuovere l’arte e la cultura come agenti di trasformazione sociale e ambientale.</w:t>
      </w:r>
    </w:p>
    <w:p w14:paraId="3A2D8D48" w14:textId="77777777" w:rsidR="00875DA4" w:rsidRPr="00E33265" w:rsidRDefault="00E33265">
      <w:pPr>
        <w:jc w:val="both"/>
        <w:rPr>
          <w:lang w:val="it-IT"/>
        </w:rPr>
      </w:pPr>
      <w:r w:rsidRPr="00E33265">
        <w:rPr>
          <w:lang w:val="it-IT"/>
        </w:rPr>
        <w:t xml:space="preserve"> </w:t>
      </w:r>
    </w:p>
    <w:p w14:paraId="0091E205" w14:textId="77777777" w:rsidR="00875DA4" w:rsidRDefault="00E33265">
      <w:pPr>
        <w:jc w:val="both"/>
        <w:rPr>
          <w:b/>
          <w:bCs/>
          <w:u w:val="single"/>
        </w:rPr>
      </w:pPr>
      <w:r>
        <w:rPr>
          <w:b/>
          <w:bCs/>
          <w:noProof/>
          <w:u w:val="single"/>
        </w:rPr>
        <w:lastRenderedPageBreak/>
        <w:drawing>
          <wp:inline distT="114300" distB="114300" distL="114300" distR="114300" wp14:anchorId="0278CE64" wp14:editId="6F927D7C">
            <wp:extent cx="5943600" cy="3962400"/>
            <wp:effectExtent l="0" t="0" r="0" b="0"/>
            <wp:docPr id="14" name="image11.jpg"/>
            <wp:cNvGraphicFramePr/>
            <a:graphic xmlns:a="http://schemas.openxmlformats.org/drawingml/2006/main">
              <a:graphicData uri="http://schemas.openxmlformats.org/drawingml/2006/picture">
                <pic:pic xmlns:pic="http://schemas.openxmlformats.org/drawingml/2006/picture">
                  <pic:nvPicPr>
                    <pic:cNvPr id="0" name="image11.jpg"/>
                    <pic:cNvPicPr preferRelativeResize="0"/>
                  </pic:nvPicPr>
                  <pic:blipFill>
                    <a:blip r:embed="rId7"/>
                    <a:srcRect/>
                    <a:stretch>
                      <a:fillRect/>
                    </a:stretch>
                  </pic:blipFill>
                  <pic:spPr>
                    <a:xfrm>
                      <a:off x="0" y="0"/>
                      <a:ext cx="5943600" cy="3962400"/>
                    </a:xfrm>
                    <a:prstGeom prst="rect">
                      <a:avLst/>
                    </a:prstGeom>
                    <a:ln/>
                  </pic:spPr>
                </pic:pic>
              </a:graphicData>
            </a:graphic>
          </wp:inline>
        </w:drawing>
      </w:r>
    </w:p>
    <w:p w14:paraId="77988BA4" w14:textId="77777777" w:rsidR="00875DA4" w:rsidRPr="00E33265" w:rsidRDefault="00E33265">
      <w:pPr>
        <w:jc w:val="both"/>
        <w:rPr>
          <w:color w:val="999999"/>
          <w:sz w:val="20"/>
          <w:szCs w:val="20"/>
          <w:lang w:val="it-IT"/>
        </w:rPr>
      </w:pPr>
      <w:r>
        <w:rPr>
          <w:color w:val="999999"/>
          <w:sz w:val="20"/>
          <w:szCs w:val="20"/>
        </w:rPr>
        <w:t xml:space="preserve">Repatriates Collective, </w:t>
      </w:r>
      <w:r>
        <w:rPr>
          <w:i/>
          <w:iCs/>
          <w:color w:val="999999"/>
          <w:sz w:val="20"/>
          <w:szCs w:val="20"/>
        </w:rPr>
        <w:t>From My Mother’s Country</w:t>
      </w:r>
      <w:r>
        <w:rPr>
          <w:color w:val="999999"/>
          <w:sz w:val="20"/>
          <w:szCs w:val="20"/>
          <w:highlight w:val="white"/>
        </w:rPr>
        <w:t xml:space="preserve">, 2026. </w:t>
      </w:r>
      <w:r w:rsidRPr="00E33265">
        <w:rPr>
          <w:color w:val="999999"/>
          <w:sz w:val="20"/>
          <w:szCs w:val="20"/>
          <w:highlight w:val="white"/>
          <w:lang w:val="it-IT"/>
        </w:rPr>
        <w:t xml:space="preserve">Vista della mostra </w:t>
      </w:r>
      <w:r w:rsidRPr="00E33265">
        <w:rPr>
          <w:i/>
          <w:iCs/>
          <w:color w:val="999999"/>
          <w:sz w:val="20"/>
          <w:szCs w:val="20"/>
          <w:lang w:val="it-IT"/>
        </w:rPr>
        <w:t>Tide of Returns</w:t>
      </w:r>
      <w:r w:rsidRPr="00E33265">
        <w:rPr>
          <w:color w:val="999999"/>
          <w:sz w:val="20"/>
          <w:szCs w:val="20"/>
          <w:lang w:val="it-IT"/>
        </w:rPr>
        <w:t xml:space="preserve"> [Onde di Ritorni], Ocean Space, Venezia. Commissionata e prodotta da TBA21–Academy. Foto: Jacopo Salvi</w:t>
      </w:r>
    </w:p>
    <w:p w14:paraId="32320AC4" w14:textId="77777777" w:rsidR="00875DA4" w:rsidRPr="00E33265" w:rsidRDefault="00875DA4">
      <w:pPr>
        <w:jc w:val="both"/>
        <w:rPr>
          <w:b/>
          <w:bCs/>
          <w:u w:val="single"/>
          <w:lang w:val="it-IT"/>
        </w:rPr>
      </w:pPr>
      <w:bookmarkStart w:id="0" w:name="_heading=h.92f41anlofan" w:colFirst="0" w:colLast="0"/>
      <w:bookmarkEnd w:id="0"/>
    </w:p>
    <w:p w14:paraId="44D3CDB4" w14:textId="77777777" w:rsidR="00875DA4" w:rsidRPr="00E33265" w:rsidRDefault="00E33265">
      <w:pPr>
        <w:jc w:val="both"/>
        <w:rPr>
          <w:b/>
          <w:bCs/>
          <w:u w:val="single"/>
          <w:lang w:val="it-IT"/>
        </w:rPr>
      </w:pPr>
      <w:bookmarkStart w:id="1" w:name="_heading=h.ncz8qzm1q7lm" w:colFirst="0" w:colLast="0"/>
      <w:bookmarkEnd w:id="1"/>
      <w:r w:rsidRPr="00E33265">
        <w:rPr>
          <w:b/>
          <w:bCs/>
          <w:u w:val="single"/>
          <w:lang w:val="it-IT"/>
        </w:rPr>
        <w:t>NAVATA OVEST</w:t>
      </w:r>
    </w:p>
    <w:p w14:paraId="0C875DB1" w14:textId="77777777" w:rsidR="00875DA4" w:rsidRPr="00E33265" w:rsidRDefault="00E33265">
      <w:pPr>
        <w:jc w:val="both"/>
        <w:rPr>
          <w:lang w:val="it-IT"/>
        </w:rPr>
      </w:pPr>
      <w:r w:rsidRPr="00E33265">
        <w:rPr>
          <w:lang w:val="it-IT"/>
        </w:rPr>
        <w:t xml:space="preserve"> </w:t>
      </w:r>
    </w:p>
    <w:p w14:paraId="402206F9" w14:textId="77777777" w:rsidR="00875DA4" w:rsidRPr="00E33265" w:rsidRDefault="00E33265">
      <w:pPr>
        <w:jc w:val="both"/>
        <w:rPr>
          <w:lang w:val="it-IT"/>
        </w:rPr>
      </w:pPr>
      <w:r w:rsidRPr="00E33265">
        <w:rPr>
          <w:lang w:val="it-IT"/>
        </w:rPr>
        <w:t>Tra i beni selezionati per il rimpatrio dalle istituzioni culturali europee, accanto a celebri pezzi antichi come i Bronzi del Benin, ai marmi e ai dipinti a olio c’erano anche delle bamboline artigianali – sculture ma anche ricettacoli sacri di fertilità – che sono state restituite ai Warnindilyakwa in Australia e alla città di Windhoek in Namibia.</w:t>
      </w:r>
    </w:p>
    <w:p w14:paraId="747256B8" w14:textId="77777777" w:rsidR="00875DA4" w:rsidRPr="00E33265" w:rsidRDefault="00E33265">
      <w:pPr>
        <w:jc w:val="both"/>
        <w:rPr>
          <w:lang w:val="it-IT"/>
        </w:rPr>
      </w:pPr>
      <w:r w:rsidRPr="00E33265">
        <w:rPr>
          <w:lang w:val="it-IT"/>
        </w:rPr>
        <w:t xml:space="preserve"> </w:t>
      </w:r>
    </w:p>
    <w:p w14:paraId="6175CFFF" w14:textId="77777777" w:rsidR="00875DA4" w:rsidRPr="00E33265" w:rsidRDefault="00E33265">
      <w:pPr>
        <w:jc w:val="both"/>
        <w:rPr>
          <w:lang w:val="it-IT"/>
        </w:rPr>
      </w:pPr>
      <w:r w:rsidRPr="00E33265">
        <w:rPr>
          <w:lang w:val="it-IT"/>
        </w:rPr>
        <w:t xml:space="preserve">Nell’installazione </w:t>
      </w:r>
      <w:r w:rsidRPr="00E33265">
        <w:rPr>
          <w:b/>
          <w:bCs/>
          <w:i/>
          <w:iCs/>
          <w:lang w:val="it-IT"/>
        </w:rPr>
        <w:t>From My Mother’s Country</w:t>
      </w:r>
      <w:r w:rsidRPr="00E33265">
        <w:rPr>
          <w:lang w:val="it-IT"/>
        </w:rPr>
        <w:t xml:space="preserve"> nella navata ovest di Ocean Space, il pubblico potrà scoprire migliaia di queste bambole in un’installazione che combina tessile, conchiglie, sabbia, video e suono. </w:t>
      </w:r>
      <w:r w:rsidRPr="00E33265">
        <w:rPr>
          <w:i/>
          <w:iCs/>
          <w:lang w:val="it-IT"/>
        </w:rPr>
        <w:t xml:space="preserve">From My Mother’s Country </w:t>
      </w:r>
      <w:r w:rsidRPr="00E33265">
        <w:rPr>
          <w:lang w:val="it-IT"/>
        </w:rPr>
        <w:t>segue il processo di vestizione delle Dadikwakwa-kwa con tessuti namibiani in preparazione del loro viaggio a Venezia. Prima di partire, le anziane le benedicono</w:t>
      </w:r>
      <w:r w:rsidRPr="00E33265">
        <w:rPr>
          <w:sz w:val="16"/>
          <w:szCs w:val="16"/>
          <w:lang w:val="it-IT"/>
        </w:rPr>
        <w:t xml:space="preserve">[CC1] </w:t>
      </w:r>
      <w:r w:rsidRPr="00E33265">
        <w:rPr>
          <w:lang w:val="it-IT"/>
        </w:rPr>
        <w:t>. I totem, i clan e le vie dei canti sono impressi nel paesaggio, mentre migliaia di bamboline trasformano la duna in un coro di m</w:t>
      </w:r>
      <w:r w:rsidRPr="00E33265">
        <w:rPr>
          <w:lang w:val="it-IT"/>
        </w:rPr>
        <w:t>essaggere ancestrali. Insieme, le Dadikwakwa-kwa uniscono le comunità attraverso i continenti, riaffermando la resistenza e i saperi indigeni.</w:t>
      </w:r>
    </w:p>
    <w:p w14:paraId="7FB94CEA" w14:textId="77777777" w:rsidR="00875DA4" w:rsidRPr="00E33265" w:rsidRDefault="00E33265">
      <w:pPr>
        <w:rPr>
          <w:lang w:val="it-IT"/>
        </w:rPr>
      </w:pPr>
      <w:r w:rsidRPr="00E33265">
        <w:rPr>
          <w:lang w:val="it-IT"/>
        </w:rPr>
        <w:t xml:space="preserve"> </w:t>
      </w:r>
    </w:p>
    <w:p w14:paraId="02C8A0B3" w14:textId="77777777" w:rsidR="00875DA4" w:rsidRPr="00E33265" w:rsidRDefault="00E33265">
      <w:pPr>
        <w:jc w:val="both"/>
        <w:rPr>
          <w:lang w:val="it-IT"/>
        </w:rPr>
      </w:pPr>
      <w:r w:rsidRPr="00E33265">
        <w:rPr>
          <w:lang w:val="it-IT"/>
        </w:rPr>
        <w:t xml:space="preserve">Attraverso l’Ounona (termine della lingua oshiwambo che sta per gioco e bambole rituali) le bambine apprendono i cicli della vita, il valore dei loro corpi e l’importanza di onorare la saggezza delle antenate. Considerate esseri viventi dalle donne che le creano e se ne prendono cura, le </w:t>
      </w:r>
      <w:r w:rsidRPr="00E33265">
        <w:rPr>
          <w:lang w:val="it-IT"/>
        </w:rPr>
        <w:lastRenderedPageBreak/>
        <w:t>Dadikwakwa-kwa vengono usate per insegnare alle bambine a relazionarsi con la loro terra, con il cibo e con i legami famigliari. In certe zone della Namibia, quando una bambina riceveva in dono la bambola, sceglieva per lei un nome che sarebbe diventato anche il nome del suo primo figlio o della sua prima figlia. Espressione dei saperi e delle pratiche di decorazione precoloniali, Oilanda (lavorazione con perline) è realizzata con le conchiglie trasportate sulla riva della costa atlantica della Namibia. Ogn</w:t>
      </w:r>
      <w:r w:rsidRPr="00E33265">
        <w:rPr>
          <w:lang w:val="it-IT"/>
        </w:rPr>
        <w:t>i bambola in questa mostra ha un nome proprio ed è un autoritratto della sua creatrice.</w:t>
      </w:r>
    </w:p>
    <w:p w14:paraId="65C9B7E2" w14:textId="77777777" w:rsidR="00875DA4" w:rsidRPr="00E33265" w:rsidRDefault="00E33265">
      <w:pPr>
        <w:jc w:val="both"/>
        <w:rPr>
          <w:lang w:val="it-IT"/>
        </w:rPr>
      </w:pPr>
      <w:r w:rsidRPr="00E33265">
        <w:rPr>
          <w:lang w:val="it-IT"/>
        </w:rPr>
        <w:t xml:space="preserve"> </w:t>
      </w:r>
    </w:p>
    <w:p w14:paraId="06A0568A" w14:textId="77777777" w:rsidR="00875DA4" w:rsidRPr="00E33265" w:rsidRDefault="00E33265">
      <w:pPr>
        <w:jc w:val="both"/>
        <w:rPr>
          <w:lang w:val="it-IT"/>
        </w:rPr>
      </w:pPr>
      <w:r w:rsidRPr="00E33265">
        <w:rPr>
          <w:lang w:val="it-IT"/>
        </w:rPr>
        <w:t>Al contempo, vediamo le grandi dune di sabbia circondare il film. Queste dune provengono in parte dal paese dell’artista anindilyakwa Noeleen Lalara, nel Golfo di Carpentaria, dove terra e acqua si incontrano ai margini di un mondo in continuo mutamento.</w:t>
      </w:r>
    </w:p>
    <w:p w14:paraId="502492CC" w14:textId="77777777" w:rsidR="00875DA4" w:rsidRPr="00E33265" w:rsidRDefault="00E33265">
      <w:pPr>
        <w:rPr>
          <w:lang w:val="it-IT"/>
        </w:rPr>
      </w:pPr>
      <w:r w:rsidRPr="00E33265">
        <w:rPr>
          <w:lang w:val="it-IT"/>
        </w:rPr>
        <w:t xml:space="preserve"> </w:t>
      </w:r>
    </w:p>
    <w:p w14:paraId="26206B76" w14:textId="77777777" w:rsidR="00875DA4" w:rsidRPr="00E33265" w:rsidRDefault="00E33265">
      <w:pPr>
        <w:rPr>
          <w:color w:val="999999"/>
          <w:sz w:val="20"/>
          <w:szCs w:val="20"/>
          <w:lang w:val="it-IT"/>
        </w:rPr>
      </w:pPr>
      <w:bookmarkStart w:id="2" w:name="_heading=h.9oauerkgdter" w:colFirst="0" w:colLast="0"/>
      <w:bookmarkEnd w:id="2"/>
      <w:r>
        <w:rPr>
          <w:b/>
          <w:bCs/>
          <w:noProof/>
          <w:u w:val="single"/>
        </w:rPr>
        <w:drawing>
          <wp:inline distT="114300" distB="114300" distL="114300" distR="114300" wp14:anchorId="61E4EFDD" wp14:editId="26D2DEC2">
            <wp:extent cx="5943600" cy="3962400"/>
            <wp:effectExtent l="0" t="0" r="0" b="0"/>
            <wp:docPr id="16" name="image12.jpg"/>
            <wp:cNvGraphicFramePr/>
            <a:graphic xmlns:a="http://schemas.openxmlformats.org/drawingml/2006/main">
              <a:graphicData uri="http://schemas.openxmlformats.org/drawingml/2006/picture">
                <pic:pic xmlns:pic="http://schemas.openxmlformats.org/drawingml/2006/picture">
                  <pic:nvPicPr>
                    <pic:cNvPr id="0" name="image12.jpg"/>
                    <pic:cNvPicPr preferRelativeResize="0"/>
                  </pic:nvPicPr>
                  <pic:blipFill>
                    <a:blip r:embed="rId8"/>
                    <a:srcRect/>
                    <a:stretch>
                      <a:fillRect/>
                    </a:stretch>
                  </pic:blipFill>
                  <pic:spPr>
                    <a:xfrm>
                      <a:off x="0" y="0"/>
                      <a:ext cx="5943600" cy="3962400"/>
                    </a:xfrm>
                    <a:prstGeom prst="rect">
                      <a:avLst/>
                    </a:prstGeom>
                    <a:ln/>
                  </pic:spPr>
                </pic:pic>
              </a:graphicData>
            </a:graphic>
          </wp:inline>
        </w:drawing>
      </w:r>
      <w:r>
        <w:rPr>
          <w:b/>
          <w:bCs/>
          <w:u w:val="single"/>
        </w:rPr>
        <w:br/>
      </w:r>
      <w:r>
        <w:rPr>
          <w:color w:val="999999"/>
          <w:sz w:val="20"/>
          <w:szCs w:val="20"/>
        </w:rPr>
        <w:t xml:space="preserve">Verena Melgarejo Weinandt, </w:t>
      </w:r>
      <w:r>
        <w:rPr>
          <w:i/>
          <w:iCs/>
          <w:color w:val="999999"/>
          <w:sz w:val="20"/>
          <w:szCs w:val="20"/>
        </w:rPr>
        <w:t>Weaving Connections</w:t>
      </w:r>
      <w:r>
        <w:rPr>
          <w:color w:val="999999"/>
          <w:sz w:val="20"/>
          <w:szCs w:val="20"/>
          <w:highlight w:val="white"/>
        </w:rPr>
        <w:t xml:space="preserve">, 2026. </w:t>
      </w:r>
      <w:r w:rsidRPr="00E33265">
        <w:rPr>
          <w:color w:val="999999"/>
          <w:sz w:val="20"/>
          <w:szCs w:val="20"/>
          <w:highlight w:val="white"/>
          <w:lang w:val="it-IT"/>
        </w:rPr>
        <w:t>Vista della mostra “</w:t>
      </w:r>
      <w:r w:rsidRPr="00E33265">
        <w:rPr>
          <w:color w:val="999999"/>
          <w:sz w:val="20"/>
          <w:szCs w:val="20"/>
          <w:lang w:val="it-IT"/>
        </w:rPr>
        <w:t>Tide of Returns” [Onde di Ritorni], Ocean Space, Venezia. Commissionata e prodotta da TBA21–Academy. Foto: Jacopo Salvi</w:t>
      </w:r>
    </w:p>
    <w:p w14:paraId="44C74F0E" w14:textId="77777777" w:rsidR="00875DA4" w:rsidRPr="00E33265" w:rsidRDefault="00875DA4">
      <w:pPr>
        <w:rPr>
          <w:b/>
          <w:bCs/>
          <w:u w:val="single"/>
          <w:lang w:val="it-IT"/>
        </w:rPr>
      </w:pPr>
      <w:bookmarkStart w:id="3" w:name="_heading=h.478dsugg640" w:colFirst="0" w:colLast="0"/>
      <w:bookmarkEnd w:id="3"/>
    </w:p>
    <w:p w14:paraId="2D30A6FA" w14:textId="77777777" w:rsidR="00875DA4" w:rsidRPr="00E33265" w:rsidRDefault="00E33265">
      <w:pPr>
        <w:rPr>
          <w:b/>
          <w:bCs/>
          <w:u w:val="single"/>
          <w:lang w:val="it-IT"/>
        </w:rPr>
      </w:pPr>
      <w:r w:rsidRPr="00E33265">
        <w:rPr>
          <w:b/>
          <w:bCs/>
          <w:u w:val="single"/>
          <w:lang w:val="it-IT"/>
        </w:rPr>
        <w:t>NAVATA EST</w:t>
      </w:r>
    </w:p>
    <w:p w14:paraId="3E8284F6" w14:textId="77777777" w:rsidR="00875DA4" w:rsidRPr="00E33265" w:rsidRDefault="00E33265">
      <w:pPr>
        <w:rPr>
          <w:lang w:val="it-IT"/>
        </w:rPr>
      </w:pPr>
      <w:r w:rsidRPr="00E33265">
        <w:rPr>
          <w:lang w:val="it-IT"/>
        </w:rPr>
        <w:t xml:space="preserve"> </w:t>
      </w:r>
    </w:p>
    <w:p w14:paraId="3033976D" w14:textId="77777777" w:rsidR="00875DA4" w:rsidRPr="00E33265" w:rsidRDefault="00E33265">
      <w:pPr>
        <w:jc w:val="both"/>
        <w:rPr>
          <w:lang w:val="it-IT"/>
        </w:rPr>
      </w:pPr>
      <w:r w:rsidRPr="00E33265">
        <w:rPr>
          <w:lang w:val="it-IT"/>
        </w:rPr>
        <w:t xml:space="preserve">Nella navata est, </w:t>
      </w:r>
      <w:r w:rsidRPr="00E33265">
        <w:rPr>
          <w:b/>
          <w:bCs/>
          <w:i/>
          <w:iCs/>
          <w:lang w:val="it-IT"/>
        </w:rPr>
        <w:t>Weaving Connections</w:t>
      </w:r>
      <w:r w:rsidRPr="00E33265">
        <w:rPr>
          <w:lang w:val="it-IT"/>
        </w:rPr>
        <w:t xml:space="preserve">, un’installazione tessile-video di </w:t>
      </w:r>
      <w:r w:rsidRPr="00E33265">
        <w:rPr>
          <w:b/>
          <w:bCs/>
          <w:lang w:val="it-IT"/>
        </w:rPr>
        <w:t>Verena Melgarejo Weinandt</w:t>
      </w:r>
      <w:r w:rsidRPr="00E33265">
        <w:rPr>
          <w:lang w:val="it-IT"/>
        </w:rPr>
        <w:t>,</w:t>
      </w:r>
      <w:r w:rsidRPr="00E33265">
        <w:rPr>
          <w:b/>
          <w:bCs/>
          <w:i/>
          <w:iCs/>
          <w:lang w:val="it-IT"/>
        </w:rPr>
        <w:t xml:space="preserve"> </w:t>
      </w:r>
      <w:r w:rsidRPr="00E33265">
        <w:rPr>
          <w:lang w:val="it-IT"/>
        </w:rPr>
        <w:t xml:space="preserve">ripercorre gesti di cura, di appartenenza e di guarigione collettiva. Lo spazio è occupato da tessuti intrecciati delle tonalità del blu, attraversati da trecce nere che richiamano lo scorrere dell’acqua ma anche le ciocche di capelli. Le trecce sono un elemento ricorrente nel percorso dell’artista, che le consente di esplorare i modi in cui nascono le identità individuali e </w:t>
      </w:r>
      <w:r w:rsidRPr="00E33265">
        <w:rPr>
          <w:lang w:val="it-IT"/>
        </w:rPr>
        <w:lastRenderedPageBreak/>
        <w:t>collettive. Integrato nel paesaggio tessile, un vide</w:t>
      </w:r>
      <w:r w:rsidRPr="00E33265">
        <w:rPr>
          <w:lang w:val="it-IT"/>
        </w:rPr>
        <w:t>o a tre canali segue una performance di preparazione, intreccio e lavaggio dei tessuti in un fiume. Il lavaggio delle trecce riflette la capacità dell’acqua di forgiare relazioni tra tutti gli esseri viventi, nonché il suo potere di trasformare, purificare e ricreare. Attraverso questo gesto ciclico – le mani che intrecciano, l’acqua che purifica – l’opera medita sulla continuità dei corpi idrici, dove i fiumi diventano oceani.</w:t>
      </w:r>
    </w:p>
    <w:p w14:paraId="46450411" w14:textId="77777777" w:rsidR="00875DA4" w:rsidRPr="00E33265" w:rsidRDefault="00E33265">
      <w:pPr>
        <w:jc w:val="both"/>
        <w:rPr>
          <w:lang w:val="it-IT"/>
        </w:rPr>
      </w:pPr>
      <w:r w:rsidRPr="00E33265">
        <w:rPr>
          <w:lang w:val="it-IT"/>
        </w:rPr>
        <w:t xml:space="preserve"> </w:t>
      </w:r>
    </w:p>
    <w:p w14:paraId="60B9E75A" w14:textId="77777777" w:rsidR="00875DA4" w:rsidRPr="00E33265" w:rsidRDefault="00E33265">
      <w:pPr>
        <w:spacing w:after="160" w:line="299" w:lineRule="auto"/>
        <w:jc w:val="both"/>
        <w:rPr>
          <w:lang w:val="it-IT"/>
        </w:rPr>
      </w:pPr>
      <w:r w:rsidRPr="00E33265">
        <w:rPr>
          <w:i/>
          <w:iCs/>
          <w:lang w:val="it-IT"/>
        </w:rPr>
        <w:t xml:space="preserve">Weaving Connections </w:t>
      </w:r>
      <w:r w:rsidRPr="00E33265">
        <w:rPr>
          <w:lang w:val="it-IT"/>
        </w:rPr>
        <w:t xml:space="preserve">è parte di un lungo percorso dell’artista nello sviluppo di una serie di ricerche e film performativi che esplorano il modo in cui l’immaginario culturale in Germania ha rappresentato e interpretato le popolazioni indigene nei media e nella cultura di massa. Analizzando con uno sguardo critico la formazione storica di stereotipi e fantasie sui popoli indigeni fin dall’epoca del colonialismo tedesco, e il modo in cui tali fantasie e stereotipi si legarono fortemente alla costruzione di un’identità tedesca e </w:t>
      </w:r>
      <w:r w:rsidRPr="00E33265">
        <w:rPr>
          <w:lang w:val="it-IT"/>
        </w:rPr>
        <w:t>una cultura nazionale, questo corpus di opere affronta le forme di violenza che ne derivano.</w:t>
      </w:r>
    </w:p>
    <w:p w14:paraId="56ED461B" w14:textId="77777777" w:rsidR="00875DA4" w:rsidRPr="00E33265" w:rsidRDefault="00E33265">
      <w:pPr>
        <w:spacing w:after="160" w:line="299" w:lineRule="auto"/>
        <w:jc w:val="both"/>
        <w:rPr>
          <w:lang w:val="it-IT"/>
        </w:rPr>
      </w:pPr>
      <w:r w:rsidRPr="00E33265">
        <w:rPr>
          <w:lang w:val="it-IT"/>
        </w:rPr>
        <w:t xml:space="preserve">I musei e le istituzioni attingono dai legami storici ed emotivi per avvicinare il pubblico tedesco a ciò che espongono e conservano, rifiutandosi al contempo di abbandonare le ideologie che impediscono loro di restituire ciò che non gli appartiene. </w:t>
      </w:r>
      <w:r w:rsidRPr="00E33265">
        <w:rPr>
          <w:i/>
          <w:iCs/>
          <w:lang w:val="it-IT"/>
        </w:rPr>
        <w:t xml:space="preserve">Weaving Connections </w:t>
      </w:r>
      <w:r w:rsidRPr="00E33265">
        <w:rPr>
          <w:lang w:val="it-IT"/>
        </w:rPr>
        <w:t>esprime la necessità di un fondamentale cambio di prospettiva sulle forme di violenza e su come le riproduciamo quando ci estraniamo da altri modi di essere. Le istituzioni continuano a replicare separazioni, dicotomie e categorizzazioni che operano una frattura tra noi e il mondo più che umano. L’artista segue invece il movimento di trasformazione dell’acqua, che crea un ciclo continuo in cui le acque non si separano mai veramente ma esistono in uno stato di connessione perpetua.</w:t>
      </w:r>
    </w:p>
    <w:p w14:paraId="67A74E8D" w14:textId="20DA0762" w:rsidR="00875DA4" w:rsidRPr="00E33265" w:rsidRDefault="00E33265">
      <w:pPr>
        <w:spacing w:after="160" w:line="299" w:lineRule="auto"/>
        <w:jc w:val="both"/>
        <w:rPr>
          <w:lang w:val="it-IT"/>
        </w:rPr>
      </w:pPr>
      <w:r w:rsidRPr="00E33265">
        <w:rPr>
          <w:i/>
          <w:iCs/>
          <w:lang w:val="it-IT"/>
        </w:rPr>
        <w:t>Tide of Returns</w:t>
      </w:r>
      <w:r w:rsidRPr="00E33265">
        <w:rPr>
          <w:lang w:val="it-IT"/>
        </w:rPr>
        <w:t xml:space="preserve"> è commissionata e prodotta da TBA21–Academy.</w:t>
      </w:r>
      <w:r w:rsidRPr="00E33265">
        <w:rPr>
          <w:lang w:val="it-IT"/>
        </w:rPr>
        <w:br/>
      </w:r>
      <w:r w:rsidRPr="00E33265">
        <w:rPr>
          <w:lang w:val="it-IT"/>
        </w:rPr>
        <w:br/>
        <w:t xml:space="preserve">La lunga treccia di </w:t>
      </w:r>
      <w:r w:rsidRPr="00E33265">
        <w:rPr>
          <w:i/>
          <w:iCs/>
          <w:lang w:val="it-IT"/>
        </w:rPr>
        <w:t>Weaving Connections</w:t>
      </w:r>
      <w:r w:rsidRPr="00E33265">
        <w:rPr>
          <w:lang w:val="it-IT"/>
        </w:rPr>
        <w:t xml:space="preserve"> di Verena Melgarejo è stata realizzata utilizzando </w:t>
      </w:r>
      <w:r w:rsidRPr="00E33265">
        <w:rPr>
          <w:lang w:val="it-IT"/>
        </w:rPr>
        <w:t xml:space="preserve">Alcantara, il materiale attraverso cui l’artista dà vita alla sua visione. Dal 2011, </w:t>
      </w:r>
      <w:r>
        <w:rPr>
          <w:lang w:val="it-IT"/>
        </w:rPr>
        <w:t>l’</w:t>
      </w:r>
      <w:r w:rsidRPr="00E33265">
        <w:rPr>
          <w:lang w:val="it-IT"/>
        </w:rPr>
        <w:t xml:space="preserve">azienda Made in Italy ha sviluppato collaborazioni con artiste/i e musei in tutto il mondo, offrendo una piattaforma in cui architette/i e designer possono esprimere la propria creatività. Per tutti questi motivi, Alcantara incarna una visione </w:t>
      </w:r>
      <w:r w:rsidRPr="00E33265">
        <w:rPr>
          <w:lang w:val="it-IT"/>
        </w:rPr>
        <w:t>in linea con la missione di TBA21 di proteggere i sistemi viventi che sostiene. Questa collaborazione riflette inoltre un impegno condiviso verso arte, design e creatività, permettendo alle/gli artiste/i di realizzare liberamente la propria visione artistica.</w:t>
      </w:r>
    </w:p>
    <w:p w14:paraId="187D61C6" w14:textId="77777777" w:rsidR="00875DA4" w:rsidRDefault="00E33265">
      <w:pPr>
        <w:spacing w:after="160" w:line="299" w:lineRule="auto"/>
      </w:pPr>
      <w:bookmarkStart w:id="4" w:name="_heading=h.hyy3gpvhh16v" w:colFirst="0" w:colLast="0"/>
      <w:bookmarkEnd w:id="4"/>
      <w:r>
        <w:pict w14:anchorId="02B87A6B">
          <v:rect id="_x0000_i1025" style="width:0;height:1.5pt" o:hralign="center" o:hrstd="t" o:hr="t" fillcolor="#a0a0a0" stroked="f"/>
        </w:pict>
      </w:r>
    </w:p>
    <w:p w14:paraId="1D1CA7A6" w14:textId="77777777" w:rsidR="00875DA4" w:rsidRPr="00E33265" w:rsidRDefault="00E33265">
      <w:pPr>
        <w:rPr>
          <w:lang w:val="it-IT"/>
        </w:rPr>
      </w:pPr>
      <w:r w:rsidRPr="00E33265">
        <w:rPr>
          <w:b/>
          <w:bCs/>
          <w:lang w:val="it-IT"/>
        </w:rPr>
        <w:t xml:space="preserve">NOTE PER REDATTRICI/ORI </w:t>
      </w:r>
      <w:r w:rsidRPr="00E33265">
        <w:rPr>
          <w:b/>
          <w:bCs/>
          <w:lang w:val="it-IT"/>
        </w:rPr>
        <w:br/>
      </w:r>
      <w:r w:rsidRPr="00E33265">
        <w:rPr>
          <w:lang w:val="it-IT"/>
        </w:rPr>
        <w:t>Per ulteriori informazioni e immagini, si prega di contattare:</w:t>
      </w:r>
    </w:p>
    <w:p w14:paraId="6F58400D" w14:textId="77777777" w:rsidR="00875DA4" w:rsidRPr="00E33265" w:rsidRDefault="00E33265">
      <w:pPr>
        <w:rPr>
          <w:lang w:val="it-IT"/>
        </w:rPr>
      </w:pPr>
      <w:r w:rsidRPr="00E33265">
        <w:rPr>
          <w:lang w:val="it-IT"/>
        </w:rPr>
        <w:t xml:space="preserve"> </w:t>
      </w:r>
    </w:p>
    <w:p w14:paraId="279E2E22" w14:textId="77777777" w:rsidR="00875DA4" w:rsidRPr="00E33265" w:rsidRDefault="00E33265">
      <w:pPr>
        <w:rPr>
          <w:color w:val="1155CC"/>
          <w:lang w:val="it-IT"/>
        </w:rPr>
      </w:pPr>
      <w:r w:rsidRPr="00E33265">
        <w:rPr>
          <w:b/>
          <w:bCs/>
          <w:lang w:val="it-IT"/>
        </w:rPr>
        <w:t>UFFICIO STAMPA ITALIANO</w:t>
      </w:r>
      <w:r w:rsidRPr="00E33265">
        <w:rPr>
          <w:b/>
          <w:bCs/>
          <w:lang w:val="it-IT"/>
        </w:rPr>
        <w:br/>
      </w:r>
      <w:r w:rsidRPr="00E33265">
        <w:rPr>
          <w:lang w:val="it-IT"/>
        </w:rPr>
        <w:t xml:space="preserve">Clarissa Spoladore, Ocean Space | </w:t>
      </w:r>
      <w:hyperlink r:id="rId9">
        <w:r w:rsidRPr="00E33265">
          <w:rPr>
            <w:color w:val="1155CC"/>
            <w:u w:val="single"/>
            <w:lang w:val="it-IT"/>
          </w:rPr>
          <w:t>press@ocean-space.org</w:t>
        </w:r>
      </w:hyperlink>
    </w:p>
    <w:p w14:paraId="7A5C881E" w14:textId="77777777" w:rsidR="00875DA4" w:rsidRPr="00E33265" w:rsidRDefault="00875DA4">
      <w:pPr>
        <w:rPr>
          <w:b/>
          <w:bCs/>
          <w:lang w:val="it-IT"/>
        </w:rPr>
      </w:pPr>
    </w:p>
    <w:p w14:paraId="4ADEE8D3" w14:textId="77777777" w:rsidR="00875DA4" w:rsidRPr="00E33265" w:rsidRDefault="00E33265">
      <w:pPr>
        <w:rPr>
          <w:b/>
          <w:bCs/>
          <w:lang w:val="it-IT"/>
        </w:rPr>
      </w:pPr>
      <w:r w:rsidRPr="00E33265">
        <w:rPr>
          <w:b/>
          <w:bCs/>
          <w:lang w:val="it-IT"/>
        </w:rPr>
        <w:t>UFFICIO STAMPA INTERNAZIONALE</w:t>
      </w:r>
    </w:p>
    <w:p w14:paraId="6496BF4A" w14:textId="77777777" w:rsidR="00875DA4" w:rsidRPr="00E33265" w:rsidRDefault="00E33265">
      <w:pPr>
        <w:rPr>
          <w:lang w:val="it-IT"/>
        </w:rPr>
      </w:pPr>
      <w:r w:rsidRPr="00E33265">
        <w:rPr>
          <w:lang w:val="it-IT"/>
        </w:rPr>
        <w:lastRenderedPageBreak/>
        <w:t>Nicola Jeffs + Siobhan Scott</w:t>
      </w:r>
    </w:p>
    <w:p w14:paraId="06357585" w14:textId="77777777" w:rsidR="00875DA4" w:rsidRPr="00E33265" w:rsidRDefault="00E33265">
      <w:pPr>
        <w:rPr>
          <w:color w:val="1155CC"/>
          <w:lang w:val="it-IT"/>
        </w:rPr>
      </w:pPr>
      <w:r w:rsidRPr="00E33265">
        <w:rPr>
          <w:color w:val="1155CC"/>
          <w:lang w:val="it-IT"/>
        </w:rPr>
        <w:t>nj@nicolajeffs.com</w:t>
      </w:r>
    </w:p>
    <w:p w14:paraId="4BEA178D" w14:textId="77777777" w:rsidR="00875DA4" w:rsidRPr="00E33265" w:rsidRDefault="00E33265">
      <w:pPr>
        <w:rPr>
          <w:color w:val="1155CC"/>
          <w:lang w:val="it-IT"/>
        </w:rPr>
      </w:pPr>
      <w:r w:rsidRPr="00E33265">
        <w:rPr>
          <w:color w:val="1155CC"/>
          <w:lang w:val="it-IT"/>
        </w:rPr>
        <w:t>ss@nicolajeffs.com</w:t>
      </w:r>
    </w:p>
    <w:p w14:paraId="6E966AD0" w14:textId="77777777" w:rsidR="00875DA4" w:rsidRPr="00E33265" w:rsidRDefault="00E33265">
      <w:pPr>
        <w:rPr>
          <w:lang w:val="it-IT"/>
        </w:rPr>
      </w:pPr>
      <w:r w:rsidRPr="00E33265">
        <w:rPr>
          <w:lang w:val="it-IT"/>
        </w:rPr>
        <w:t>+44 7794 694 754</w:t>
      </w:r>
    </w:p>
    <w:p w14:paraId="1B8CB1AA" w14:textId="77777777" w:rsidR="00875DA4" w:rsidRPr="00E33265" w:rsidRDefault="00E33265">
      <w:pPr>
        <w:rPr>
          <w:lang w:val="it-IT"/>
        </w:rPr>
      </w:pPr>
      <w:r w:rsidRPr="00E33265">
        <w:rPr>
          <w:lang w:val="it-IT"/>
        </w:rPr>
        <w:t xml:space="preserve"> </w:t>
      </w:r>
    </w:p>
    <w:p w14:paraId="7F888339" w14:textId="77777777" w:rsidR="00875DA4" w:rsidRPr="00E33265" w:rsidRDefault="00E33265">
      <w:pPr>
        <w:rPr>
          <w:lang w:val="it-IT"/>
        </w:rPr>
      </w:pPr>
      <w:r w:rsidRPr="00E33265">
        <w:rPr>
          <w:lang w:val="it-IT"/>
        </w:rPr>
        <w:t>Ocean Space</w:t>
      </w:r>
    </w:p>
    <w:p w14:paraId="331F11F3" w14:textId="77777777" w:rsidR="00875DA4" w:rsidRPr="00E33265" w:rsidRDefault="00E33265">
      <w:pPr>
        <w:rPr>
          <w:lang w:val="it-IT"/>
        </w:rPr>
      </w:pPr>
      <w:r w:rsidRPr="00E33265">
        <w:rPr>
          <w:lang w:val="it-IT"/>
        </w:rPr>
        <w:t>Chiesa di San Lorenzo</w:t>
      </w:r>
    </w:p>
    <w:p w14:paraId="4A007503" w14:textId="77777777" w:rsidR="00875DA4" w:rsidRPr="00E33265" w:rsidRDefault="00E33265">
      <w:pPr>
        <w:rPr>
          <w:lang w:val="it-IT"/>
        </w:rPr>
      </w:pPr>
      <w:r w:rsidRPr="00E33265">
        <w:rPr>
          <w:lang w:val="it-IT"/>
        </w:rPr>
        <w:t>Castello 5069, Venezia</w:t>
      </w:r>
    </w:p>
    <w:p w14:paraId="0E95D6D9" w14:textId="77777777" w:rsidR="00875DA4" w:rsidRPr="00E33265" w:rsidRDefault="00E33265">
      <w:pPr>
        <w:rPr>
          <w:lang w:val="it-IT"/>
        </w:rPr>
      </w:pPr>
      <w:r w:rsidRPr="00E33265">
        <w:rPr>
          <w:lang w:val="it-IT"/>
        </w:rPr>
        <w:t>www.ocean-space.org</w:t>
      </w:r>
    </w:p>
    <w:p w14:paraId="256005BF" w14:textId="77777777" w:rsidR="00875DA4" w:rsidRPr="00E33265" w:rsidRDefault="00E33265">
      <w:pPr>
        <w:rPr>
          <w:color w:val="1155CC"/>
          <w:u w:val="single"/>
          <w:lang w:val="it-IT"/>
        </w:rPr>
      </w:pPr>
      <w:hyperlink r:id="rId10">
        <w:r w:rsidRPr="00E33265">
          <w:rPr>
            <w:color w:val="1155CC"/>
            <w:u w:val="single"/>
            <w:lang w:val="it-IT"/>
          </w:rPr>
          <w:t>www.tba21.org/academy</w:t>
        </w:r>
      </w:hyperlink>
    </w:p>
    <w:p w14:paraId="6FC92BBA" w14:textId="77777777" w:rsidR="00875DA4" w:rsidRPr="00E33265" w:rsidRDefault="00E33265">
      <w:pPr>
        <w:rPr>
          <w:lang w:val="it-IT"/>
        </w:rPr>
      </w:pPr>
      <w:r w:rsidRPr="00E33265">
        <w:rPr>
          <w:lang w:val="it-IT"/>
        </w:rPr>
        <w:t>Mercoledì–Domenica, 11–18</w:t>
      </w:r>
    </w:p>
    <w:p w14:paraId="139F7961" w14:textId="77777777" w:rsidR="00875DA4" w:rsidRPr="00E33265" w:rsidRDefault="00E33265">
      <w:pPr>
        <w:rPr>
          <w:lang w:val="it-IT"/>
        </w:rPr>
      </w:pPr>
      <w:r w:rsidRPr="00E33265">
        <w:rPr>
          <w:lang w:val="it-IT"/>
        </w:rPr>
        <w:t>Ingresso gratuito</w:t>
      </w:r>
    </w:p>
    <w:p w14:paraId="68004CFC" w14:textId="77777777" w:rsidR="00875DA4" w:rsidRPr="00E33265" w:rsidRDefault="00E33265">
      <w:pPr>
        <w:spacing w:before="240" w:after="240"/>
        <w:jc w:val="both"/>
        <w:rPr>
          <w:lang w:val="it-IT"/>
        </w:rPr>
      </w:pPr>
      <w:r w:rsidRPr="00E33265">
        <w:rPr>
          <w:b/>
          <w:bCs/>
          <w:lang w:val="it-IT"/>
        </w:rPr>
        <w:t xml:space="preserve">Biografie relative alla mostra </w:t>
      </w:r>
      <w:r w:rsidRPr="00E33265">
        <w:rPr>
          <w:b/>
          <w:bCs/>
          <w:i/>
          <w:iCs/>
          <w:lang w:val="it-IT"/>
        </w:rPr>
        <w:t>Tide of Returns</w:t>
      </w:r>
      <w:r w:rsidRPr="00E33265">
        <w:rPr>
          <w:b/>
          <w:bCs/>
          <w:i/>
          <w:iCs/>
          <w:lang w:val="it-IT"/>
        </w:rPr>
        <w:br/>
      </w:r>
      <w:r w:rsidRPr="00E33265">
        <w:rPr>
          <w:b/>
          <w:bCs/>
          <w:i/>
          <w:iCs/>
          <w:lang w:val="it-IT"/>
        </w:rPr>
        <w:br/>
      </w:r>
      <w:r w:rsidRPr="00E33265">
        <w:rPr>
          <w:lang w:val="it-IT"/>
        </w:rPr>
        <w:t xml:space="preserve">Il </w:t>
      </w:r>
      <w:r w:rsidRPr="00E33265">
        <w:rPr>
          <w:b/>
          <w:bCs/>
          <w:lang w:val="it-IT"/>
        </w:rPr>
        <w:t xml:space="preserve">Repatriates Collective </w:t>
      </w:r>
      <w:r w:rsidRPr="00E33265">
        <w:rPr>
          <w:lang w:val="it-IT"/>
        </w:rPr>
        <w:t>è un progetto collaborativo di ricerca artistica che indaga su ciò che accade quando ai musei europei viene chiesto di restituire le proprie collezioni alle comunità che hanno legami culturali e storici con quelle opere. Il rimpatrio di beni culturali spesso presenta fattori politici, storici, giuridici ed emotivi complessi. Il collettivo affronta vari casi internazionali contemporanei, tra cui quelli di Austria-Messico, Regno Unito-Australia, Svizzera-Nigeria, Fra</w:t>
      </w:r>
      <w:r w:rsidRPr="00E33265">
        <w:rPr>
          <w:lang w:val="it-IT"/>
        </w:rPr>
        <w:t xml:space="preserve">ncia-Benin e Germania-Namibia, impiegando una diversità di metodi di ricerca per approfondire il ruolo degli artisti in questi processi. Tra le/i principali partecipanti alla mostra </w:t>
      </w:r>
      <w:r w:rsidRPr="00E33265">
        <w:rPr>
          <w:i/>
          <w:iCs/>
          <w:lang w:val="it-IT"/>
        </w:rPr>
        <w:t xml:space="preserve">Tide of Returns </w:t>
      </w:r>
      <w:r w:rsidRPr="00E33265">
        <w:rPr>
          <w:lang w:val="it-IT"/>
        </w:rPr>
        <w:t>a Ocean Space troviamo Khadija von Zinnenburg Carroll, Kasimir Burgess, Rebekah Wilson, Britten Andrews e le artiste anindilyakwa, tra cui Noeleen Lalara, Nikisha Wanambi, Sheanah Marawili, Kaysheanne Murrugun, Annabell Amagula, Lusanne Murrugun, Marcia Mamarika, Arabella Wanambi, Elsie Bara, Lily Yantarrnga, Cha</w:t>
      </w:r>
      <w:r w:rsidRPr="00E33265">
        <w:rPr>
          <w:lang w:val="it-IT"/>
        </w:rPr>
        <w:t>rmaine Kerindun, Meaghan Wanambi, Angela Robyn Williams, Maureen Bara, Maicie Lalara, Bernadette Watt, Lucinda Murrugun, Janelle Mamarika, Noelita Lalara, Shirly Yantarrnga, Stephanie Durilla, Natalie Yantarrnga, Chailene Yantarrnga, Charlene Wanambi, Alice Durilla, Sharna Wurramara, Rebecca Yarntarrnga, Rita Bara, Sue Bara, e l’artista africana Laimi Kakololo e l’artista africano Samson Ogiamien.</w:t>
      </w:r>
    </w:p>
    <w:p w14:paraId="6E965C13" w14:textId="77777777" w:rsidR="00875DA4" w:rsidRPr="00E33265" w:rsidRDefault="00E33265">
      <w:pPr>
        <w:spacing w:before="240" w:after="240" w:line="299" w:lineRule="auto"/>
        <w:jc w:val="both"/>
        <w:rPr>
          <w:lang w:val="it-IT"/>
        </w:rPr>
      </w:pPr>
      <w:r w:rsidRPr="00E33265">
        <w:rPr>
          <w:b/>
          <w:bCs/>
          <w:lang w:val="it-IT"/>
        </w:rPr>
        <w:t xml:space="preserve">Verena Melgarejo Weinandt </w:t>
      </w:r>
      <w:r w:rsidRPr="00E33265">
        <w:rPr>
          <w:lang w:val="it-IT"/>
        </w:rPr>
        <w:t xml:space="preserve">è un’artista, ricercatrice, curatrice e educatrice tedesco-boliviana. Attualmente è membro del progetto di ricerca artistica finanziato dall’European Research Council </w:t>
      </w:r>
      <w:r w:rsidRPr="00E33265">
        <w:rPr>
          <w:i/>
          <w:iCs/>
          <w:lang w:val="it-IT"/>
        </w:rPr>
        <w:t xml:space="preserve">Repatriates </w:t>
      </w:r>
      <w:r w:rsidRPr="00E33265">
        <w:rPr>
          <w:lang w:val="it-IT"/>
        </w:rPr>
        <w:t>alla Central European University di Vienna e in passato ha lavorato nel Gruppo di Ricerca</w:t>
      </w:r>
      <w:r w:rsidRPr="00E33265">
        <w:rPr>
          <w:b/>
          <w:bCs/>
          <w:lang w:val="it-IT"/>
        </w:rPr>
        <w:t xml:space="preserve"> </w:t>
      </w:r>
      <w:r w:rsidRPr="00E33265">
        <w:rPr>
          <w:rFonts w:ascii="Helvetica Neue" w:eastAsia="Helvetica Neue" w:hAnsi="Helvetica Neue" w:cs="Helvetica Neue"/>
          <w:color w:val="0A0A0A"/>
          <w:lang w:val="it-IT"/>
        </w:rPr>
        <w:t>della Deutsche Forschungsgemeinschaft</w:t>
      </w:r>
      <w:r w:rsidRPr="00E33265">
        <w:rPr>
          <w:rFonts w:ascii="Helvetica Neue" w:eastAsia="Helvetica Neue" w:hAnsi="Helvetica Neue" w:cs="Helvetica Neue"/>
          <w:b/>
          <w:bCs/>
          <w:color w:val="0A0A0A"/>
          <w:lang w:val="it-IT"/>
        </w:rPr>
        <w:t xml:space="preserve"> </w:t>
      </w:r>
      <w:r w:rsidRPr="00E33265">
        <w:rPr>
          <w:rFonts w:ascii="Helvetica Neue" w:eastAsia="Helvetica Neue" w:hAnsi="Helvetica Neue" w:cs="Helvetica Neue"/>
          <w:i/>
          <w:iCs/>
          <w:color w:val="0A0A0A"/>
          <w:lang w:val="it-IT"/>
        </w:rPr>
        <w:t>Knowledge in the Arts</w:t>
      </w:r>
      <w:r w:rsidRPr="00E33265">
        <w:rPr>
          <w:rFonts w:ascii="Helvetica Neue" w:eastAsia="Helvetica Neue" w:hAnsi="Helvetica Neue" w:cs="Helvetica Neue"/>
          <w:color w:val="0A0A0A"/>
          <w:lang w:val="it-IT"/>
        </w:rPr>
        <w:t xml:space="preserve"> presso la University of the Arts di Berlino. Lavorando con performance, tessuti, fotografia, video e installazioni, Verena Melgarejo Weinandt affronta le strutture coloniali e patriar</w:t>
      </w:r>
      <w:r w:rsidRPr="00E33265">
        <w:rPr>
          <w:rFonts w:ascii="Helvetica Neue" w:eastAsia="Helvetica Neue" w:hAnsi="Helvetica Neue" w:cs="Helvetica Neue"/>
          <w:color w:val="0A0A0A"/>
          <w:lang w:val="it-IT"/>
        </w:rPr>
        <w:t xml:space="preserve">cali, usando il corpo dell’artista e la sua storia (ancestrale) come strumenti di trasformazione collettiva, ed esplorando la possibilità di (ri)costruire le identità individuali e collettive attraverso le nostre relazioni con gli esseri inventati, immaginari e più che umani. Ha presentato la sua pratica artistica a livello internazionale in diversi luoghi, tra cui </w:t>
      </w:r>
      <w:r w:rsidRPr="00E33265">
        <w:rPr>
          <w:lang w:val="it-IT"/>
        </w:rPr>
        <w:t xml:space="preserve">La Virreina Centre de la Imatge (Barcellona), Manifesta 14 </w:t>
      </w:r>
      <w:r w:rsidRPr="00E33265">
        <w:rPr>
          <w:lang w:val="it-IT"/>
        </w:rPr>
        <w:lastRenderedPageBreak/>
        <w:t>(Pristina), la 16</w:t>
      </w:r>
      <w:r w:rsidRPr="00E33265">
        <w:rPr>
          <w:vertAlign w:val="superscript"/>
          <w:lang w:val="it-IT"/>
        </w:rPr>
        <w:t>a</w:t>
      </w:r>
      <w:r w:rsidRPr="00E33265">
        <w:rPr>
          <w:lang w:val="it-IT"/>
        </w:rPr>
        <w:t xml:space="preserve"> Bienalsur (Buenos Aires), Bienal Sur (Cúcuta 2019), nGbK Berlin e</w:t>
      </w:r>
      <w:r w:rsidRPr="00E33265">
        <w:rPr>
          <w:lang w:val="it-IT"/>
        </w:rPr>
        <w:t xml:space="preserve"> Wiener Festwochen (Vienna), nonché in diversi film festival internazionali. Ha anche curato mostre al Weltmuseum di Vienna, al Wiener Festwochen e alla District School Without Center (Berlino).</w:t>
      </w:r>
    </w:p>
    <w:p w14:paraId="195740C3" w14:textId="77777777" w:rsidR="00875DA4" w:rsidRPr="00E33265" w:rsidRDefault="00E33265">
      <w:pPr>
        <w:spacing w:before="240" w:after="240" w:line="299" w:lineRule="auto"/>
        <w:jc w:val="both"/>
        <w:rPr>
          <w:lang w:val="it-IT"/>
        </w:rPr>
      </w:pPr>
      <w:r w:rsidRPr="00E33265">
        <w:rPr>
          <w:b/>
          <w:bCs/>
          <w:highlight w:val="white"/>
          <w:lang w:val="it-IT"/>
        </w:rPr>
        <w:t>Khadija von Zinnenburg Carroll</w:t>
      </w:r>
      <w:r w:rsidRPr="00E33265">
        <w:rPr>
          <w:highlight w:val="white"/>
          <w:lang w:val="it-IT"/>
        </w:rPr>
        <w:t xml:space="preserve">, </w:t>
      </w:r>
      <w:r w:rsidRPr="00E33265">
        <w:rPr>
          <w:lang w:val="it-IT"/>
        </w:rPr>
        <w:t xml:space="preserve">nata a Naarm (Melbourne), Australia, è un’artista e filmmaker. È Professoressa di Storia e Direttrice del progetto EU Horizon 2020 </w:t>
      </w:r>
      <w:r w:rsidRPr="00E33265">
        <w:rPr>
          <w:i/>
          <w:iCs/>
          <w:lang w:val="it-IT"/>
        </w:rPr>
        <w:t>REPATRIATES: Artistic Research in Museums and Communities in the Process of Repatriation from Europe</w:t>
      </w:r>
      <w:r w:rsidRPr="00E33265">
        <w:rPr>
          <w:lang w:val="it-IT"/>
        </w:rPr>
        <w:t xml:space="preserve">, e del collettivo di artiste/i e ricercatrici/ori che ne fanno parte. Ha conseguito un PhD in Storia dell’Arte e dell’Architettura a Harvard ed è autrice dei libri </w:t>
      </w:r>
      <w:r w:rsidRPr="00E33265">
        <w:rPr>
          <w:i/>
          <w:iCs/>
          <w:lang w:val="it-IT"/>
        </w:rPr>
        <w:t>Art in the Time of Colony</w:t>
      </w:r>
      <w:r w:rsidRPr="00E33265">
        <w:rPr>
          <w:lang w:val="it-IT"/>
        </w:rPr>
        <w:t xml:space="preserve">; </w:t>
      </w:r>
      <w:r w:rsidRPr="00E33265">
        <w:rPr>
          <w:i/>
          <w:iCs/>
          <w:lang w:val="it-IT"/>
        </w:rPr>
        <w:t xml:space="preserve">The Importance of Being Anachronistic: </w:t>
      </w:r>
      <w:r w:rsidRPr="00E33265">
        <w:rPr>
          <w:i/>
          <w:iCs/>
          <w:highlight w:val="white"/>
          <w:lang w:val="it-IT"/>
        </w:rPr>
        <w:t>Contemporary Aboriginal Art and Museum Reparatio</w:t>
      </w:r>
      <w:r w:rsidRPr="00E33265">
        <w:rPr>
          <w:i/>
          <w:iCs/>
          <w:highlight w:val="white"/>
          <w:lang w:val="it-IT"/>
        </w:rPr>
        <w:t>ns</w:t>
      </w:r>
      <w:r w:rsidRPr="00E33265">
        <w:rPr>
          <w:lang w:val="it-IT"/>
        </w:rPr>
        <w:t xml:space="preserve">; </w:t>
      </w:r>
      <w:r w:rsidRPr="00E33265">
        <w:rPr>
          <w:i/>
          <w:iCs/>
          <w:lang w:val="it-IT"/>
        </w:rPr>
        <w:t>Botanical Drift</w:t>
      </w:r>
      <w:r w:rsidRPr="00E33265">
        <w:rPr>
          <w:lang w:val="it-IT"/>
        </w:rPr>
        <w:t xml:space="preserve">; </w:t>
      </w:r>
      <w:r w:rsidRPr="00E33265">
        <w:rPr>
          <w:i/>
          <w:iCs/>
          <w:lang w:val="it-IT"/>
        </w:rPr>
        <w:t>Bordered Lives: Immigration Detention Archive, The Contested Crown: Repatriation Politics between Mexico and Europe</w:t>
      </w:r>
      <w:r w:rsidRPr="00E33265">
        <w:rPr>
          <w:lang w:val="it-IT"/>
        </w:rPr>
        <w:t>,</w:t>
      </w:r>
      <w:r w:rsidRPr="00E33265">
        <w:rPr>
          <w:i/>
          <w:iCs/>
          <w:lang w:val="it-IT"/>
        </w:rPr>
        <w:t xml:space="preserve"> </w:t>
      </w:r>
      <w:r w:rsidRPr="00E33265">
        <w:rPr>
          <w:lang w:val="it-IT"/>
        </w:rPr>
        <w:t xml:space="preserve">e del film di prossima uscita </w:t>
      </w:r>
      <w:r w:rsidRPr="00E33265">
        <w:rPr>
          <w:i/>
          <w:iCs/>
          <w:lang w:val="it-IT"/>
        </w:rPr>
        <w:t>Voyages of Belonings: Art and Repatriation</w:t>
      </w:r>
      <w:r w:rsidRPr="00E33265">
        <w:rPr>
          <w:lang w:val="it-IT"/>
        </w:rPr>
        <w:t>, basato sul progetto omonimo. La sua pratica artistica combina parola e immagine in film e installazioni, dando voce a narrazioni alternative attraverso il testo e la performance. Le sue opere sono state presentate in numerose mostre e progetti di ricerca artistica internazionali, tra cui le Biennali</w:t>
      </w:r>
      <w:r w:rsidRPr="00E33265">
        <w:rPr>
          <w:lang w:val="it-IT"/>
        </w:rPr>
        <w:t xml:space="preserve"> di Venezia, Marrakech, Sharjah e l’Atlantic Biennale, </w:t>
      </w:r>
      <w:r w:rsidRPr="00E33265">
        <w:rPr>
          <w:color w:val="1C1C1C"/>
          <w:lang w:val="it-IT"/>
        </w:rPr>
        <w:t xml:space="preserve">ZKM, Manifesta, Wien Woche, </w:t>
      </w:r>
      <w:r w:rsidRPr="00E33265">
        <w:rPr>
          <w:lang w:val="it-IT"/>
        </w:rPr>
        <w:t>Extracity, Savvy, Haus der Kulturen der Welt, MAA Cambridge, Royal Museums Greenwich, Frieze London e il Wende Museum LA. È stata premiata ai film festival di Casablanca, Ethnokino e St Kilda.</w:t>
      </w:r>
    </w:p>
    <w:p w14:paraId="435C360E" w14:textId="77777777" w:rsidR="00875DA4" w:rsidRPr="00E33265" w:rsidRDefault="00E33265">
      <w:pPr>
        <w:spacing w:before="240" w:after="240" w:line="299" w:lineRule="auto"/>
        <w:jc w:val="both"/>
        <w:rPr>
          <w:lang w:val="it-IT"/>
        </w:rPr>
      </w:pPr>
      <w:r w:rsidRPr="00E33265">
        <w:rPr>
          <w:b/>
          <w:bCs/>
          <w:lang w:val="it-IT"/>
        </w:rPr>
        <w:t>Biografie relative alla mostra</w:t>
      </w:r>
      <w:r w:rsidRPr="00E33265">
        <w:rPr>
          <w:b/>
          <w:bCs/>
          <w:i/>
          <w:iCs/>
          <w:lang w:val="it-IT"/>
        </w:rPr>
        <w:t xml:space="preserve"> Nature Speaks. Ascoltare i Diritti della Natura a Venezia e in Europa</w:t>
      </w:r>
      <w:r w:rsidRPr="00E33265">
        <w:rPr>
          <w:b/>
          <w:bCs/>
          <w:i/>
          <w:iCs/>
          <w:lang w:val="it-IT"/>
        </w:rPr>
        <w:br/>
      </w:r>
      <w:r w:rsidRPr="00E33265">
        <w:rPr>
          <w:b/>
          <w:bCs/>
          <w:i/>
          <w:iCs/>
          <w:lang w:val="it-IT"/>
        </w:rPr>
        <w:br/>
      </w:r>
      <w:r w:rsidRPr="00E33265">
        <w:rPr>
          <w:b/>
          <w:bCs/>
          <w:lang w:val="it-IT"/>
        </w:rPr>
        <w:t xml:space="preserve">Pietro Consolandi </w:t>
      </w:r>
      <w:r w:rsidRPr="00E33265">
        <w:rPr>
          <w:lang w:val="it-IT"/>
        </w:rPr>
        <w:t>è un ricercatore e artista di base a Venezia, fondatore del collettivo Barena Bianca. È OCEAN / UNI Research Lead presso TBA21–Academy e Research Fellow presso NICHE, Università Ca’ Foscari di Venezia, dove indaga l’attuazione culturale dei Diritti della Natura per la Laguna di Venezia e il bacino idrografico del Nord Italia. Più in generale, la sua pratica artistica e di ricerca nasce dalla visione della laguna come e</w:t>
      </w:r>
      <w:r w:rsidRPr="00E33265">
        <w:rPr>
          <w:lang w:val="it-IT"/>
        </w:rPr>
        <w:t>ntità vivente con una capacità d’agire, e mira a esplorare le interconnessioni tra questo corpo idrico e le/i sue/oi abitanti, umani e più che umani, da una prospettiva biologica, sociologica e affettiva. Questo approccio promuove lo sviluppo di sistemi di parentela con altre zone umide e comunità che condividono ecosistemi, bisogni e desideri simili.</w:t>
      </w:r>
    </w:p>
    <w:p w14:paraId="4392A049" w14:textId="77777777" w:rsidR="00875DA4" w:rsidRPr="00E33265" w:rsidRDefault="00E33265">
      <w:pPr>
        <w:spacing w:before="240" w:after="240" w:line="299" w:lineRule="auto"/>
        <w:jc w:val="both"/>
        <w:rPr>
          <w:lang w:val="it-IT"/>
        </w:rPr>
      </w:pPr>
      <w:r w:rsidRPr="00E33265">
        <w:rPr>
          <w:b/>
          <w:bCs/>
          <w:lang w:val="it-IT"/>
        </w:rPr>
        <w:t xml:space="preserve">Amalia Rossi </w:t>
      </w:r>
      <w:r w:rsidRPr="00E33265">
        <w:rPr>
          <w:lang w:val="it-IT"/>
        </w:rPr>
        <w:t>è Marie Sklodowska Curie Research Fellow presso New Institute – Center for Environmental Humanities (NICHE) dell’Università Ca’ Foscari di Venezia. Ha conseguito un Dottorato di Ricerca in Antropologia Contemporanea (Università di Milano Bicocca) e insegna Antropologia Culturale, Antropologia Visiva ed Ecosofia alla Nuova Accademia di Belle Arti (NABA) di Milano e Roma. Rossi ha condotto ricerche sul campo in Italia e in Thailandia ed è esperta di ecologia politica, studi buddhisti ed etnografia dei movimen</w:t>
      </w:r>
      <w:r w:rsidRPr="00E33265">
        <w:rPr>
          <w:lang w:val="it-IT"/>
        </w:rPr>
        <w:t>ti sociali. Nell’ambito di NICHE, è stata tra le fondatrici della rete IDRA e parte del gruppo che ha elaborato la bozza della Dichiarazione dei Diritti della Laguna di Venezia.</w:t>
      </w:r>
    </w:p>
    <w:p w14:paraId="6B1BEB41" w14:textId="77777777" w:rsidR="00875DA4" w:rsidRPr="00E33265" w:rsidRDefault="00E33265">
      <w:pPr>
        <w:spacing w:before="240" w:after="240" w:line="299" w:lineRule="auto"/>
        <w:jc w:val="both"/>
        <w:rPr>
          <w:lang w:val="it-IT"/>
        </w:rPr>
      </w:pPr>
      <w:r w:rsidRPr="00E33265">
        <w:rPr>
          <w:b/>
          <w:bCs/>
          <w:lang w:val="it-IT"/>
        </w:rPr>
        <w:lastRenderedPageBreak/>
        <w:t>Su TBA21 Thyssen-Bornemisza Art Contemporary</w:t>
      </w:r>
      <w:r w:rsidRPr="00E33265">
        <w:rPr>
          <w:b/>
          <w:bCs/>
          <w:lang w:val="it-IT"/>
        </w:rPr>
        <w:br/>
        <w:t xml:space="preserve">TBA21 Thyssen-Bornemisza Art Contemporary </w:t>
      </w:r>
      <w:r w:rsidRPr="00E33265">
        <w:rPr>
          <w:lang w:val="it-IT"/>
        </w:rPr>
        <w:t>è una fondazione internazionale e tra le più importanti istituzioni nel campo dell’arte e dell’advocacy. Fondata nel 2002 da Francesca Thyssen-Bornemisza, filantropa e mecenate, la Fondazione gestisce la Collezione di TBA21 e le sue attività di interesse sociale, che comprendono mostre, programmi pubblici e progetti formativi. TBA21 ha una sede centrale a Madrid, dove opera in collaborazione con il Museo Nacional Thyssen-Bornemisza, e due altri importanti sedi a Ve</w:t>
      </w:r>
      <w:r w:rsidRPr="00E33265">
        <w:rPr>
          <w:lang w:val="it-IT"/>
        </w:rPr>
        <w:t>nezia e in Giamaica. Tutte le attività di TBA21 sono fondamentalmente condotte dalle artiste e gli artisti, e animate dalla convinzione che l’arte e la cultura siano potenti agenti di trasformazione sociale e ambientale, al servizio della pace globale.</w:t>
      </w:r>
    </w:p>
    <w:p w14:paraId="291D1B8B" w14:textId="77777777" w:rsidR="00875DA4" w:rsidRPr="00E33265" w:rsidRDefault="00E33265">
      <w:pPr>
        <w:spacing w:before="240" w:after="240" w:line="299" w:lineRule="auto"/>
        <w:jc w:val="both"/>
        <w:rPr>
          <w:lang w:val="it-IT"/>
        </w:rPr>
      </w:pPr>
      <w:r w:rsidRPr="00E33265">
        <w:rPr>
          <w:b/>
          <w:bCs/>
          <w:lang w:val="it-IT"/>
        </w:rPr>
        <w:t xml:space="preserve">TBA21–Academy </w:t>
      </w:r>
      <w:r w:rsidRPr="00E33265">
        <w:rPr>
          <w:lang w:val="it-IT"/>
        </w:rPr>
        <w:t>è la piattaforma di ricerca della fondazione, che promuove un rapporto più profondo con l’oceano e l’ecologia in generale. È un incubatore di ricerca transdisciplinare, produzione artistica e patrocinio ambientale. Per più di un decennio, l’Academy ha incoraggiato nuove forme di conoscenza emerse dagli scambi tra arte, scienza, politica e conservazione attraverso programmi collaborativi di lungo periodo che includono borse di studio, residenze e una vasta gamma di attività.</w:t>
      </w:r>
    </w:p>
    <w:p w14:paraId="5CB671F2" w14:textId="77777777" w:rsidR="00875DA4" w:rsidRPr="00E33265" w:rsidRDefault="00E33265">
      <w:pPr>
        <w:spacing w:before="240" w:after="240" w:line="299" w:lineRule="auto"/>
        <w:jc w:val="both"/>
        <w:rPr>
          <w:lang w:val="it-IT"/>
        </w:rPr>
      </w:pPr>
      <w:r w:rsidRPr="00E33265">
        <w:rPr>
          <w:lang w:val="it-IT"/>
        </w:rPr>
        <w:t xml:space="preserve">Nel 2019 TBA2–Academy ha inaugurato a Venezia </w:t>
      </w:r>
      <w:r w:rsidRPr="00E33265">
        <w:rPr>
          <w:b/>
          <w:bCs/>
          <w:lang w:val="it-IT"/>
        </w:rPr>
        <w:t>Ocean Space</w:t>
      </w:r>
      <w:r w:rsidRPr="00E33265">
        <w:rPr>
          <w:lang w:val="it-IT"/>
        </w:rPr>
        <w:t>, un polo planetario per promuovere la consapevolezza critica, la ricerca e l’advocacy attraverso l’arte. Situato nella Chiesa di San Lorenzo, Ocean Space è un centro dedicato a mostre, ricerca e programmi pubblici che promuovono la curiosità, l’impegno e l’azione collettiva. Istituita e diretta da TBA21–Academy e radicata nel suo vasto lavoro, questa ambasciata per l’oceano incoraggia una comprensione più profonda delle questioni locali e globali che riguardano l’oceano. Ocean Space segue un pro</w:t>
      </w:r>
      <w:r w:rsidRPr="00E33265">
        <w:rPr>
          <w:lang w:val="it-IT"/>
        </w:rPr>
        <w:t xml:space="preserve">gramma annuale ed è aperto al pubblico dalla primavera all’autunno. Lo spazio è stato inaugurato con la mostra </w:t>
      </w:r>
      <w:r w:rsidRPr="00E33265">
        <w:rPr>
          <w:i/>
          <w:iCs/>
          <w:lang w:val="it-IT"/>
        </w:rPr>
        <w:t>Moving Off the Land II</w:t>
      </w:r>
      <w:r w:rsidRPr="00E33265">
        <w:rPr>
          <w:lang w:val="it-IT"/>
        </w:rPr>
        <w:t xml:space="preserve"> di Joan Jonas, dopo essere rimasto prevalentemente chiuso per oltre un secolo e aver subito una sostanziale ristrutturazione completata all’inizio del 2020. Terminati i lavori, TBA21 ha passato il testimone a TBA21–Academy affinché dirigesse il nuovo Ocean Space e ne curasse la programmazione. Uno spazio aperto a tutte/i, Ocean Space sposa l’etica della pratica transdisciplin</w:t>
      </w:r>
      <w:r w:rsidRPr="00E33265">
        <w:rPr>
          <w:lang w:val="it-IT"/>
        </w:rPr>
        <w:t>are, nutrendo una comunità a più voci e generando risposte creative ai problemi più urgenti della nostra epoca, pur restando al contempo profondamente radicato nella storia, nella cultura e nelle acque di Venezia.</w:t>
      </w:r>
    </w:p>
    <w:p w14:paraId="5E3E3192" w14:textId="77777777" w:rsidR="00875DA4" w:rsidRPr="00E33265" w:rsidRDefault="00E33265">
      <w:pPr>
        <w:spacing w:before="240" w:after="240" w:line="299" w:lineRule="auto"/>
        <w:jc w:val="both"/>
        <w:rPr>
          <w:lang w:val="it-IT"/>
        </w:rPr>
      </w:pPr>
      <w:r w:rsidRPr="00E33265">
        <w:rPr>
          <w:b/>
          <w:bCs/>
          <w:lang w:val="it-IT"/>
        </w:rPr>
        <w:t xml:space="preserve">OCEAN / UNI </w:t>
      </w:r>
      <w:r w:rsidRPr="00E33265">
        <w:rPr>
          <w:lang w:val="it-IT"/>
        </w:rPr>
        <w:t>è un’iniziativa pubblica e gratuita che si colloca all’incrocio tra arte, attivismo, legge e scienza, e invita i/le partecipanti a pensare in maniera fluida insieme all’Oceano per intraprendere azioni più “anfibie” e superare la dicotomia terra-mare. OCEAN / UNI Permette a studentesse/i, ricercatrici/ori e al pubblico in generale di accedere a idee ed esplorazioni di ampio respiro, attraverso live session, gruppi di lettura, laboratori, iniziative su piccola scala e materiali aggiuntivi disponibili gratuita</w:t>
      </w:r>
      <w:r w:rsidRPr="00E33265">
        <w:rPr>
          <w:lang w:val="it-IT"/>
        </w:rPr>
        <w:t xml:space="preserve">mente online su </w:t>
      </w:r>
      <w:r w:rsidRPr="00E33265">
        <w:rPr>
          <w:color w:val="1155CC"/>
          <w:lang w:val="it-IT"/>
        </w:rPr>
        <w:t>Ocean-Archive.org</w:t>
      </w:r>
      <w:r w:rsidRPr="00E33265">
        <w:rPr>
          <w:lang w:val="it-IT"/>
        </w:rPr>
        <w:t>.</w:t>
      </w:r>
    </w:p>
    <w:p w14:paraId="13009405" w14:textId="77777777" w:rsidR="00875DA4" w:rsidRPr="00E33265" w:rsidRDefault="00E33265">
      <w:pPr>
        <w:spacing w:before="240" w:after="240" w:line="299" w:lineRule="auto"/>
        <w:jc w:val="both"/>
        <w:rPr>
          <w:lang w:val="it-IT"/>
        </w:rPr>
      </w:pPr>
      <w:r w:rsidRPr="00E33265">
        <w:rPr>
          <w:lang w:val="it-IT"/>
        </w:rPr>
        <w:lastRenderedPageBreak/>
        <w:t xml:space="preserve">Il semestre dell’autunno 2025, intitolato </w:t>
      </w:r>
      <w:r w:rsidRPr="00E33265">
        <w:rPr>
          <w:b/>
          <w:bCs/>
          <w:i/>
          <w:iCs/>
          <w:lang w:val="it-IT"/>
        </w:rPr>
        <w:t>Spaces of Collaboration</w:t>
      </w:r>
      <w:r w:rsidRPr="00E33265">
        <w:rPr>
          <w:lang w:val="it-IT"/>
        </w:rPr>
        <w:t xml:space="preserve">, esplora l’immagine in movimento come pratica di restituzione e rimpatrio culturale attraverso casi studio dalla Namibia, dal Perù, dal Cile e dall’Australia. Diretto da </w:t>
      </w:r>
      <w:r w:rsidRPr="00E33265">
        <w:rPr>
          <w:b/>
          <w:bCs/>
          <w:lang w:val="it-IT"/>
        </w:rPr>
        <w:t xml:space="preserve">Khadija von Zinnenburg Carroll </w:t>
      </w:r>
      <w:r w:rsidRPr="00E33265">
        <w:rPr>
          <w:lang w:val="it-IT"/>
        </w:rPr>
        <w:t xml:space="preserve">e </w:t>
      </w:r>
      <w:r w:rsidRPr="00E33265">
        <w:rPr>
          <w:b/>
          <w:bCs/>
          <w:lang w:val="it-IT"/>
        </w:rPr>
        <w:t>Verena Melgarejo Weinandt</w:t>
      </w:r>
      <w:r w:rsidRPr="00E33265">
        <w:rPr>
          <w:lang w:val="it-IT"/>
        </w:rPr>
        <w:t>, il programma riunisce artiste/i, filosofe/i, attiviste/i e ricercatrici/ori internazionali. Attraverso letture</w:t>
      </w:r>
      <w:r w:rsidRPr="00E33265">
        <w:rPr>
          <w:i/>
          <w:iCs/>
          <w:lang w:val="it-IT"/>
        </w:rPr>
        <w:t xml:space="preserve"> </w:t>
      </w:r>
      <w:r w:rsidRPr="00E33265">
        <w:rPr>
          <w:lang w:val="it-IT"/>
        </w:rPr>
        <w:t>pubbliche, laboratori di filmmaking sperimentale e attività collaborative, le/i partecipanti riflettono sul ritorno, sulla resistenza e sul recupero di storie sommerse, e</w:t>
      </w:r>
      <w:r w:rsidRPr="00E33265">
        <w:rPr>
          <w:lang w:val="it-IT"/>
        </w:rPr>
        <w:t>nfatizzando metodologie indigene e approcci critici provenienti dall’Oceania, dall’America Latina e dall’Africa. Il programma impiega pratiche di cinema documentario sperimentale e pratiche relazionali che prediligono la collaborazione, il sapere situato e la cura collettiva.</w:t>
      </w:r>
    </w:p>
    <w:p w14:paraId="183B3F76" w14:textId="77777777" w:rsidR="00875DA4" w:rsidRPr="00E33265" w:rsidRDefault="00E33265">
      <w:pPr>
        <w:spacing w:before="240" w:after="240" w:line="301" w:lineRule="auto"/>
        <w:rPr>
          <w:i/>
          <w:iCs/>
          <w:lang w:val="it-IT"/>
        </w:rPr>
      </w:pPr>
      <w:bookmarkStart w:id="5" w:name="_heading=h.y5070qap1euc" w:colFirst="0" w:colLast="0"/>
      <w:bookmarkEnd w:id="5"/>
      <w:r w:rsidRPr="00E33265">
        <w:rPr>
          <w:lang w:val="it-IT"/>
        </w:rPr>
        <w:br/>
      </w:r>
      <w:r>
        <w:rPr>
          <w:noProof/>
        </w:rPr>
        <w:drawing>
          <wp:inline distT="114300" distB="114300" distL="114300" distR="114300" wp14:anchorId="7A3D0859" wp14:editId="1276485B">
            <wp:extent cx="1402894" cy="902637"/>
            <wp:effectExtent l="0" t="0" r="0" b="0"/>
            <wp:docPr id="15"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1"/>
                    <a:srcRect/>
                    <a:stretch>
                      <a:fillRect/>
                    </a:stretch>
                  </pic:blipFill>
                  <pic:spPr>
                    <a:xfrm>
                      <a:off x="0" y="0"/>
                      <a:ext cx="1402894" cy="902637"/>
                    </a:xfrm>
                    <a:prstGeom prst="rect">
                      <a:avLst/>
                    </a:prstGeom>
                    <a:ln/>
                  </pic:spPr>
                </pic:pic>
              </a:graphicData>
            </a:graphic>
          </wp:inline>
        </w:drawing>
      </w:r>
      <w:r w:rsidRPr="00E33265">
        <w:rPr>
          <w:lang w:val="it-IT"/>
        </w:rPr>
        <w:t xml:space="preserve">               </w:t>
      </w:r>
      <w:r>
        <w:rPr>
          <w:noProof/>
        </w:rPr>
        <w:drawing>
          <wp:inline distT="114300" distB="114300" distL="114300" distR="114300" wp14:anchorId="5EC28593" wp14:editId="678B5348">
            <wp:extent cx="2186894" cy="632200"/>
            <wp:effectExtent l="0" t="0" r="0" b="0"/>
            <wp:docPr id="18"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12"/>
                    <a:srcRect/>
                    <a:stretch>
                      <a:fillRect/>
                    </a:stretch>
                  </pic:blipFill>
                  <pic:spPr>
                    <a:xfrm>
                      <a:off x="0" y="0"/>
                      <a:ext cx="2186894" cy="632200"/>
                    </a:xfrm>
                    <a:prstGeom prst="rect">
                      <a:avLst/>
                    </a:prstGeom>
                    <a:ln/>
                  </pic:spPr>
                </pic:pic>
              </a:graphicData>
            </a:graphic>
          </wp:inline>
        </w:drawing>
      </w:r>
    </w:p>
    <w:p w14:paraId="33FE5BD3" w14:textId="77777777" w:rsidR="00875DA4" w:rsidRPr="00E33265" w:rsidRDefault="00875DA4">
      <w:pPr>
        <w:spacing w:before="240" w:after="240" w:line="301" w:lineRule="auto"/>
        <w:rPr>
          <w:i/>
          <w:iCs/>
          <w:lang w:val="it-IT"/>
        </w:rPr>
      </w:pPr>
      <w:bookmarkStart w:id="6" w:name="_heading=h.ix739wivmese" w:colFirst="0" w:colLast="0"/>
      <w:bookmarkEnd w:id="6"/>
    </w:p>
    <w:p w14:paraId="40156BD8" w14:textId="77777777" w:rsidR="00875DA4" w:rsidRPr="00E33265" w:rsidRDefault="00E33265">
      <w:pPr>
        <w:spacing w:before="240" w:after="240" w:line="301" w:lineRule="auto"/>
        <w:rPr>
          <w:lang w:val="it-IT"/>
        </w:rPr>
      </w:pPr>
      <w:bookmarkStart w:id="7" w:name="_heading=h.z868rsle2e4w" w:colFirst="0" w:colLast="0"/>
      <w:bookmarkEnd w:id="7"/>
      <w:r w:rsidRPr="00E33265">
        <w:rPr>
          <w:i/>
          <w:iCs/>
          <w:lang w:val="it-IT"/>
        </w:rPr>
        <w:t>Tide of Returns</w:t>
      </w:r>
      <w:r w:rsidRPr="00E33265">
        <w:rPr>
          <w:lang w:val="it-IT"/>
        </w:rPr>
        <w:t xml:space="preserve"> è sotto il patrocinio di </w:t>
      </w:r>
    </w:p>
    <w:p w14:paraId="10D70E2B" w14:textId="77777777" w:rsidR="00875DA4" w:rsidRDefault="00E33265">
      <w:pPr>
        <w:spacing w:after="160" w:line="301" w:lineRule="auto"/>
      </w:pPr>
      <w:bookmarkStart w:id="8" w:name="_heading=h.ufri0u2mlebf" w:colFirst="0" w:colLast="0"/>
      <w:bookmarkEnd w:id="8"/>
      <w:r>
        <w:rPr>
          <w:noProof/>
        </w:rPr>
        <w:drawing>
          <wp:inline distT="114300" distB="114300" distL="114300" distR="114300" wp14:anchorId="6706ED29" wp14:editId="0FC52F57">
            <wp:extent cx="5448261" cy="1244091"/>
            <wp:effectExtent l="0" t="0" r="0" b="0"/>
            <wp:docPr id="17"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13"/>
                    <a:srcRect/>
                    <a:stretch>
                      <a:fillRect/>
                    </a:stretch>
                  </pic:blipFill>
                  <pic:spPr>
                    <a:xfrm>
                      <a:off x="0" y="0"/>
                      <a:ext cx="5448261" cy="1244091"/>
                    </a:xfrm>
                    <a:prstGeom prst="rect">
                      <a:avLst/>
                    </a:prstGeom>
                    <a:ln/>
                  </pic:spPr>
                </pic:pic>
              </a:graphicData>
            </a:graphic>
          </wp:inline>
        </w:drawing>
      </w:r>
    </w:p>
    <w:p w14:paraId="25475327" w14:textId="77777777" w:rsidR="00875DA4" w:rsidRDefault="00875DA4">
      <w:pPr>
        <w:spacing w:after="160" w:line="301" w:lineRule="auto"/>
      </w:pPr>
    </w:p>
    <w:p w14:paraId="3C4DB63E" w14:textId="77777777" w:rsidR="00875DA4" w:rsidRPr="00E33265" w:rsidRDefault="00E33265">
      <w:pPr>
        <w:spacing w:after="160" w:line="301" w:lineRule="auto"/>
        <w:rPr>
          <w:lang w:val="it-IT"/>
        </w:rPr>
      </w:pPr>
      <w:r w:rsidRPr="00E33265">
        <w:rPr>
          <w:lang w:val="it-IT"/>
        </w:rPr>
        <w:t xml:space="preserve">Partner di </w:t>
      </w:r>
      <w:r w:rsidRPr="00E33265">
        <w:rPr>
          <w:i/>
          <w:iCs/>
          <w:lang w:val="it-IT"/>
        </w:rPr>
        <w:t>Weaving Connections,</w:t>
      </w:r>
      <w:r w:rsidRPr="00E33265">
        <w:rPr>
          <w:lang w:val="it-IT"/>
        </w:rPr>
        <w:t xml:space="preserve"> 2026, di Verena Melgarejo Weinandt</w:t>
      </w:r>
    </w:p>
    <w:p w14:paraId="0C552F69" w14:textId="77777777" w:rsidR="00875DA4" w:rsidRPr="00E33265" w:rsidRDefault="00E33265">
      <w:pPr>
        <w:spacing w:after="160" w:line="301" w:lineRule="auto"/>
        <w:rPr>
          <w:lang w:val="it-IT"/>
        </w:rPr>
      </w:pPr>
      <w:r>
        <w:rPr>
          <w:noProof/>
        </w:rPr>
        <w:drawing>
          <wp:inline distT="114300" distB="114300" distL="114300" distR="114300" wp14:anchorId="1AB5D03C" wp14:editId="4C02470B">
            <wp:extent cx="1998406" cy="578486"/>
            <wp:effectExtent l="0" t="0" r="0" b="0"/>
            <wp:docPr id="20"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4"/>
                    <a:srcRect/>
                    <a:stretch>
                      <a:fillRect/>
                    </a:stretch>
                  </pic:blipFill>
                  <pic:spPr>
                    <a:xfrm>
                      <a:off x="0" y="0"/>
                      <a:ext cx="1998406" cy="578486"/>
                    </a:xfrm>
                    <a:prstGeom prst="rect">
                      <a:avLst/>
                    </a:prstGeom>
                    <a:ln/>
                  </pic:spPr>
                </pic:pic>
              </a:graphicData>
            </a:graphic>
          </wp:inline>
        </w:drawing>
      </w:r>
      <w:r w:rsidRPr="00E33265">
        <w:rPr>
          <w:lang w:val="it-IT"/>
        </w:rPr>
        <w:t xml:space="preserve"> </w:t>
      </w:r>
    </w:p>
    <w:p w14:paraId="3B087C2D" w14:textId="77777777" w:rsidR="00875DA4" w:rsidRPr="00E33265" w:rsidRDefault="00875DA4">
      <w:pPr>
        <w:spacing w:after="160" w:line="301" w:lineRule="auto"/>
        <w:rPr>
          <w:i/>
          <w:iCs/>
          <w:lang w:val="it-IT"/>
        </w:rPr>
      </w:pPr>
      <w:bookmarkStart w:id="9" w:name="_heading=h.z7ecfssls3jn" w:colFirst="0" w:colLast="0"/>
      <w:bookmarkEnd w:id="9"/>
    </w:p>
    <w:p w14:paraId="4F90AA8E" w14:textId="77777777" w:rsidR="00875DA4" w:rsidRPr="00E33265" w:rsidRDefault="00875DA4">
      <w:pPr>
        <w:spacing w:after="160" w:line="301" w:lineRule="auto"/>
        <w:rPr>
          <w:i/>
          <w:iCs/>
          <w:lang w:val="it-IT"/>
        </w:rPr>
      </w:pPr>
      <w:bookmarkStart w:id="10" w:name="_heading=h.7jckbl2cm6l3" w:colFirst="0" w:colLast="0"/>
      <w:bookmarkEnd w:id="10"/>
    </w:p>
    <w:p w14:paraId="7BEBEC1D" w14:textId="77777777" w:rsidR="00875DA4" w:rsidRPr="00E33265" w:rsidRDefault="00E33265">
      <w:pPr>
        <w:spacing w:after="160" w:line="301" w:lineRule="auto"/>
        <w:rPr>
          <w:lang w:val="it-IT"/>
        </w:rPr>
      </w:pPr>
      <w:bookmarkStart w:id="11" w:name="_heading=h.sbzylp8nlr46" w:colFirst="0" w:colLast="0"/>
      <w:bookmarkEnd w:id="11"/>
      <w:r w:rsidRPr="00E33265">
        <w:rPr>
          <w:i/>
          <w:iCs/>
          <w:lang w:val="it-IT"/>
        </w:rPr>
        <w:t>Weaving Connections,</w:t>
      </w:r>
      <w:r w:rsidRPr="00E33265">
        <w:rPr>
          <w:lang w:val="it-IT"/>
        </w:rPr>
        <w:t xml:space="preserve"> 2026, di Verena Melgarejo Weinandt – Con il sostegno di</w:t>
      </w:r>
    </w:p>
    <w:p w14:paraId="24CE0F45" w14:textId="77777777" w:rsidR="00875DA4" w:rsidRDefault="00E33265">
      <w:pPr>
        <w:spacing w:after="160" w:line="301" w:lineRule="auto"/>
      </w:pPr>
      <w:bookmarkStart w:id="12" w:name="_heading=h.pzrfty2nj9mh" w:colFirst="0" w:colLast="0"/>
      <w:bookmarkEnd w:id="12"/>
      <w:r>
        <w:rPr>
          <w:noProof/>
        </w:rPr>
        <w:lastRenderedPageBreak/>
        <w:drawing>
          <wp:inline distT="114300" distB="114300" distL="114300" distR="114300" wp14:anchorId="0E6C4226" wp14:editId="6A32546A">
            <wp:extent cx="4405313" cy="908596"/>
            <wp:effectExtent l="0" t="0" r="0" b="0"/>
            <wp:docPr id="19"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15"/>
                    <a:srcRect/>
                    <a:stretch>
                      <a:fillRect/>
                    </a:stretch>
                  </pic:blipFill>
                  <pic:spPr>
                    <a:xfrm>
                      <a:off x="0" y="0"/>
                      <a:ext cx="4405313" cy="908596"/>
                    </a:xfrm>
                    <a:prstGeom prst="rect">
                      <a:avLst/>
                    </a:prstGeom>
                    <a:ln/>
                  </pic:spPr>
                </pic:pic>
              </a:graphicData>
            </a:graphic>
          </wp:inline>
        </w:drawing>
      </w:r>
    </w:p>
    <w:p w14:paraId="102C91ED" w14:textId="77777777" w:rsidR="00875DA4" w:rsidRDefault="00E33265">
      <w:pPr>
        <w:spacing w:after="160" w:line="301" w:lineRule="auto"/>
        <w:rPr>
          <w:color w:val="1D1C1D"/>
        </w:rPr>
      </w:pPr>
      <w:bookmarkStart w:id="13" w:name="_heading=h.65vcf085jeo2" w:colFirst="0" w:colLast="0"/>
      <w:bookmarkEnd w:id="13"/>
      <w:r>
        <w:br/>
      </w:r>
      <w:r>
        <w:rPr>
          <w:i/>
          <w:iCs/>
          <w:color w:val="1D1C1D"/>
        </w:rPr>
        <w:t>From My Mother's Country</w:t>
      </w:r>
      <w:r>
        <w:rPr>
          <w:color w:val="1D1C1D"/>
        </w:rPr>
        <w:t>, 2026, di Repatriates Collective – Sponsor tecnico della sabbia bianca</w:t>
      </w:r>
    </w:p>
    <w:p w14:paraId="18E6EBFE" w14:textId="77777777" w:rsidR="00875DA4" w:rsidRDefault="00875DA4">
      <w:pPr>
        <w:spacing w:after="160" w:line="301" w:lineRule="auto"/>
        <w:rPr>
          <w:color w:val="1D1C1D"/>
        </w:rPr>
      </w:pPr>
      <w:bookmarkStart w:id="14" w:name="_heading=h.xmhnw4tc2ndt" w:colFirst="0" w:colLast="0"/>
      <w:bookmarkEnd w:id="14"/>
    </w:p>
    <w:bookmarkStart w:id="15" w:name="_heading=h.6gxqki2z1ku5" w:colFirst="0" w:colLast="0" w:displacedByCustomXml="next"/>
    <w:bookmarkEnd w:id="15" w:displacedByCustomXml="next"/>
    <w:sdt>
      <w:sdtPr>
        <w:tag w:val="goog_rdk_0"/>
        <w:id w:val="-1163264927"/>
        <w:lock w:val="contentLocked"/>
      </w:sdtPr>
      <w:sdtEndPr/>
      <w:sdtContent>
        <w:tbl>
          <w:tblPr>
            <w:tblStyle w:val="a0"/>
            <w:tblpPr w:leftFromText="180" w:rightFromText="180" w:topFromText="180" w:bottomFromText="180" w:vertAnchor="text"/>
            <w:tblW w:w="5520"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tblLayout w:type="fixed"/>
            <w:tblLook w:val="0600" w:firstRow="0" w:lastRow="0" w:firstColumn="0" w:lastColumn="0" w:noHBand="1" w:noVBand="1"/>
          </w:tblPr>
          <w:tblGrid>
            <w:gridCol w:w="2145"/>
            <w:gridCol w:w="3375"/>
          </w:tblGrid>
          <w:tr w:rsidR="00875DA4" w:rsidRPr="00E33265" w14:paraId="44EE8E8C" w14:textId="77777777">
            <w:trPr>
              <w:trHeight w:val="2265"/>
            </w:trPr>
            <w:tc>
              <w:tcPr>
                <w:tcW w:w="2145" w:type="dxa"/>
              </w:tcPr>
              <w:p w14:paraId="6DF84045" w14:textId="77777777" w:rsidR="00875DA4" w:rsidRDefault="00E33265">
                <w:pPr>
                  <w:spacing w:after="160" w:line="301" w:lineRule="auto"/>
                  <w:rPr>
                    <w:i/>
                    <w:iCs/>
                    <w:sz w:val="20"/>
                    <w:szCs w:val="20"/>
                  </w:rPr>
                </w:pPr>
                <w:r>
                  <w:rPr>
                    <w:noProof/>
                  </w:rPr>
                  <w:drawing>
                    <wp:inline distT="114300" distB="114300" distL="114300" distR="114300" wp14:anchorId="27DD5195" wp14:editId="708F8A42">
                      <wp:extent cx="1066384" cy="1013506"/>
                      <wp:effectExtent l="0" t="0" r="0" b="0"/>
                      <wp:docPr id="22" name="image3.jpg"/>
                      <wp:cNvGraphicFramePr/>
                      <a:graphic xmlns:a="http://schemas.openxmlformats.org/drawingml/2006/main">
                        <a:graphicData uri="http://schemas.openxmlformats.org/drawingml/2006/picture">
                          <pic:pic xmlns:pic="http://schemas.openxmlformats.org/drawingml/2006/picture">
                            <pic:nvPicPr>
                              <pic:cNvPr id="0" name="image3.jpg"/>
                              <pic:cNvPicPr preferRelativeResize="0"/>
                            </pic:nvPicPr>
                            <pic:blipFill>
                              <a:blip r:embed="rId16"/>
                              <a:srcRect/>
                              <a:stretch>
                                <a:fillRect/>
                              </a:stretch>
                            </pic:blipFill>
                            <pic:spPr>
                              <a:xfrm>
                                <a:off x="0" y="0"/>
                                <a:ext cx="1066384" cy="1013506"/>
                              </a:xfrm>
                              <a:prstGeom prst="rect">
                                <a:avLst/>
                              </a:prstGeom>
                              <a:ln/>
                            </pic:spPr>
                          </pic:pic>
                        </a:graphicData>
                      </a:graphic>
                    </wp:inline>
                  </w:drawing>
                </w:r>
              </w:p>
            </w:tc>
            <w:tc>
              <w:tcPr>
                <w:tcW w:w="3375" w:type="dxa"/>
              </w:tcPr>
              <w:p w14:paraId="67C67E77" w14:textId="77777777" w:rsidR="00875DA4" w:rsidRPr="00E33265" w:rsidRDefault="00E33265">
                <w:pPr>
                  <w:spacing w:after="160" w:line="301" w:lineRule="auto"/>
                  <w:rPr>
                    <w:i/>
                    <w:iCs/>
                    <w:color w:val="999999"/>
                    <w:sz w:val="16"/>
                    <w:szCs w:val="16"/>
                    <w:lang w:val="it-IT"/>
                  </w:rPr>
                </w:pPr>
                <w:bookmarkStart w:id="16" w:name="_heading=h.ip7vetz97k0" w:colFirst="0" w:colLast="0"/>
                <w:bookmarkEnd w:id="16"/>
                <w:r>
                  <w:rPr>
                    <w:i/>
                    <w:iCs/>
                    <w:sz w:val="16"/>
                    <w:szCs w:val="16"/>
                  </w:rPr>
                  <w:br/>
                </w:r>
                <w:r>
                  <w:rPr>
                    <w:i/>
                    <w:iCs/>
                    <w:color w:val="999999"/>
                    <w:sz w:val="16"/>
                    <w:szCs w:val="16"/>
                  </w:rPr>
                  <w:t>In oltre cinquant'anni, il Gruppo Minerali Industriali ha dimostrato che l'estrazione e la lavorazione di materie prime possono coesistere con la tutela ambientale, l'economia circolare e la valorizzazione dei territori locali.</w:t>
                </w:r>
              </w:p>
            </w:tc>
          </w:tr>
        </w:tbl>
      </w:sdtContent>
    </w:sdt>
    <w:p w14:paraId="0EDF593E" w14:textId="77777777" w:rsidR="00875DA4" w:rsidRPr="00E33265" w:rsidRDefault="00875DA4">
      <w:pPr>
        <w:spacing w:after="160" w:line="301" w:lineRule="auto"/>
        <w:rPr>
          <w:i/>
          <w:iCs/>
          <w:sz w:val="20"/>
          <w:szCs w:val="20"/>
          <w:lang w:val="it-IT"/>
        </w:rPr>
      </w:pPr>
    </w:p>
    <w:p w14:paraId="296F64D5" w14:textId="77777777" w:rsidR="00875DA4" w:rsidRPr="00E33265" w:rsidRDefault="00875DA4">
      <w:pPr>
        <w:spacing w:after="160" w:line="301" w:lineRule="auto"/>
        <w:rPr>
          <w:lang w:val="it-IT"/>
        </w:rPr>
      </w:pPr>
      <w:bookmarkStart w:id="17" w:name="_heading=h.e6vpq7sro2x1" w:colFirst="0" w:colLast="0"/>
      <w:bookmarkEnd w:id="17"/>
    </w:p>
    <w:p w14:paraId="317C19E5" w14:textId="77777777" w:rsidR="00875DA4" w:rsidRPr="00E33265" w:rsidRDefault="00E33265">
      <w:pPr>
        <w:spacing w:after="160" w:line="301" w:lineRule="auto"/>
        <w:rPr>
          <w:lang w:val="it-IT"/>
        </w:rPr>
      </w:pPr>
      <w:r w:rsidRPr="00E33265">
        <w:rPr>
          <w:lang w:val="it-IT"/>
        </w:rPr>
        <w:br/>
      </w:r>
    </w:p>
    <w:p w14:paraId="00FA29DB" w14:textId="77777777" w:rsidR="00875DA4" w:rsidRPr="00E33265" w:rsidRDefault="00875DA4">
      <w:pPr>
        <w:spacing w:after="160" w:line="301" w:lineRule="auto"/>
        <w:rPr>
          <w:lang w:val="it-IT"/>
        </w:rPr>
      </w:pPr>
      <w:bookmarkStart w:id="18" w:name="_heading=h.pnj5c6c51ecs" w:colFirst="0" w:colLast="0"/>
      <w:bookmarkEnd w:id="18"/>
    </w:p>
    <w:p w14:paraId="18246ADC" w14:textId="77777777" w:rsidR="00875DA4" w:rsidRPr="00E33265" w:rsidRDefault="00875DA4">
      <w:pPr>
        <w:spacing w:after="160" w:line="301" w:lineRule="auto"/>
        <w:rPr>
          <w:lang w:val="it-IT"/>
        </w:rPr>
      </w:pPr>
      <w:bookmarkStart w:id="19" w:name="_heading=h.tu9stt1ahljh" w:colFirst="0" w:colLast="0"/>
      <w:bookmarkEnd w:id="19"/>
    </w:p>
    <w:p w14:paraId="48244B85" w14:textId="77777777" w:rsidR="00875DA4" w:rsidRPr="00E33265" w:rsidRDefault="00E33265">
      <w:pPr>
        <w:spacing w:after="160" w:line="299" w:lineRule="auto"/>
        <w:rPr>
          <w:lang w:val="it-IT"/>
        </w:rPr>
      </w:pPr>
      <w:r w:rsidRPr="00E33265">
        <w:rPr>
          <w:i/>
          <w:iCs/>
          <w:lang w:val="it-IT"/>
        </w:rPr>
        <w:t>Nature Speaks. Ascoltare i Diritti della Natura a Venezia e in Europa</w:t>
      </w:r>
      <w:r w:rsidRPr="00E33265">
        <w:rPr>
          <w:b/>
          <w:bCs/>
          <w:i/>
          <w:iCs/>
          <w:lang w:val="it-IT"/>
        </w:rPr>
        <w:t xml:space="preserve"> </w:t>
      </w:r>
      <w:r w:rsidRPr="00E33265">
        <w:rPr>
          <w:lang w:val="it-IT"/>
        </w:rPr>
        <w:t>è coprodotta da</w:t>
      </w:r>
    </w:p>
    <w:p w14:paraId="33720B3D" w14:textId="77777777" w:rsidR="00875DA4" w:rsidRPr="00E33265" w:rsidRDefault="00875DA4">
      <w:pPr>
        <w:spacing w:after="160" w:line="301" w:lineRule="auto"/>
        <w:rPr>
          <w:lang w:val="it-IT"/>
        </w:rPr>
      </w:pPr>
      <w:bookmarkStart w:id="20" w:name="_heading=h.lc46806hmc7o" w:colFirst="0" w:colLast="0"/>
      <w:bookmarkEnd w:id="20"/>
    </w:p>
    <w:p w14:paraId="3926041E" w14:textId="77777777" w:rsidR="00875DA4" w:rsidRDefault="00E33265">
      <w:pPr>
        <w:spacing w:after="160" w:line="301" w:lineRule="auto"/>
      </w:pPr>
      <w:bookmarkStart w:id="21" w:name="_heading=h.f0gynx9i5be8" w:colFirst="0" w:colLast="0"/>
      <w:bookmarkEnd w:id="21"/>
      <w:r>
        <w:rPr>
          <w:noProof/>
        </w:rPr>
        <w:drawing>
          <wp:inline distT="114300" distB="114300" distL="114300" distR="114300" wp14:anchorId="4DB7EA9B" wp14:editId="23B0140D">
            <wp:extent cx="3090863" cy="930077"/>
            <wp:effectExtent l="0" t="0" r="0" b="0"/>
            <wp:docPr id="21"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17"/>
                    <a:srcRect r="27193"/>
                    <a:stretch>
                      <a:fillRect/>
                    </a:stretch>
                  </pic:blipFill>
                  <pic:spPr>
                    <a:xfrm>
                      <a:off x="0" y="0"/>
                      <a:ext cx="3090863" cy="930077"/>
                    </a:xfrm>
                    <a:prstGeom prst="rect">
                      <a:avLst/>
                    </a:prstGeom>
                    <a:ln/>
                  </pic:spPr>
                </pic:pic>
              </a:graphicData>
            </a:graphic>
          </wp:inline>
        </w:drawing>
      </w:r>
      <w:r>
        <w:br/>
      </w:r>
      <w:r>
        <w:br/>
        <w:t>In collaborazione con</w:t>
      </w:r>
      <w:r>
        <w:br/>
      </w:r>
      <w:r>
        <w:rPr>
          <w:noProof/>
        </w:rPr>
        <w:drawing>
          <wp:inline distT="114300" distB="114300" distL="114300" distR="114300" wp14:anchorId="34FE0519" wp14:editId="101669C6">
            <wp:extent cx="3024188" cy="1173565"/>
            <wp:effectExtent l="0" t="0" r="0" b="0"/>
            <wp:docPr id="23"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8"/>
                    <a:srcRect/>
                    <a:stretch>
                      <a:fillRect/>
                    </a:stretch>
                  </pic:blipFill>
                  <pic:spPr>
                    <a:xfrm>
                      <a:off x="0" y="0"/>
                      <a:ext cx="3024188" cy="1173565"/>
                    </a:xfrm>
                    <a:prstGeom prst="rect">
                      <a:avLst/>
                    </a:prstGeom>
                    <a:ln/>
                  </pic:spPr>
                </pic:pic>
              </a:graphicData>
            </a:graphic>
          </wp:inline>
        </w:drawing>
      </w:r>
      <w:r>
        <w:br/>
      </w:r>
    </w:p>
    <w:sectPr w:rsidR="00875DA4">
      <w:headerReference w:type="default" r:id="rId19"/>
      <w:pgSz w:w="12240" w:h="15840"/>
      <w:pgMar w:top="1440" w:right="1440" w:bottom="1440" w:left="1440" w:header="144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585AE5B" w14:textId="77777777" w:rsidR="00E33265" w:rsidRDefault="00E33265">
      <w:pPr>
        <w:spacing w:line="240" w:lineRule="auto"/>
      </w:pPr>
      <w:r>
        <w:separator/>
      </w:r>
    </w:p>
  </w:endnote>
  <w:endnote w:type="continuationSeparator" w:id="0">
    <w:p w14:paraId="451286C9" w14:textId="77777777" w:rsidR="00E33265" w:rsidRDefault="00E33265">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Helvetica Neue">
    <w:charset w:val="00"/>
    <w:family w:val="auto"/>
    <w:pitch w:val="default"/>
    <w:embedRegular r:id="rId1" w:fontKey="{C3A76E3E-43E1-41DE-ABE9-C0F41B7255C6}"/>
    <w:embedBold r:id="rId2" w:fontKey="{5D85AA28-489A-4390-857C-659E1196C0E8}"/>
    <w:embedItalic r:id="rId3" w:fontKey="{162EBBDC-CC47-47C3-B080-D96EFD51E2F5}"/>
  </w:font>
  <w:font w:name="Calibri">
    <w:panose1 w:val="020F0502020204030204"/>
    <w:charset w:val="00"/>
    <w:family w:val="swiss"/>
    <w:pitch w:val="variable"/>
    <w:sig w:usb0="E4002EFF" w:usb1="C000247B" w:usb2="00000009" w:usb3="00000000" w:csb0="000001FF" w:csb1="00000000"/>
    <w:embedRegular r:id="rId4" w:fontKey="{4C37D906-C08E-4D18-9B6D-CE3CA3EDA8CD}"/>
  </w:font>
  <w:font w:name="Cambria">
    <w:panose1 w:val="02040503050406030204"/>
    <w:charset w:val="00"/>
    <w:family w:val="roman"/>
    <w:pitch w:val="variable"/>
    <w:sig w:usb0="E00006FF" w:usb1="420024FF" w:usb2="02000000" w:usb3="00000000" w:csb0="0000019F" w:csb1="00000000"/>
    <w:embedRegular r:id="rId5" w:fontKey="{2117B302-0D18-4D02-A005-D14253396C6B}"/>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A281F64" w14:textId="77777777" w:rsidR="00E33265" w:rsidRDefault="00E33265">
      <w:pPr>
        <w:spacing w:line="240" w:lineRule="auto"/>
      </w:pPr>
      <w:r>
        <w:separator/>
      </w:r>
    </w:p>
  </w:footnote>
  <w:footnote w:type="continuationSeparator" w:id="0">
    <w:p w14:paraId="0D7D0DA3" w14:textId="77777777" w:rsidR="00E33265" w:rsidRDefault="00E33265">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131798" w14:textId="77777777" w:rsidR="00875DA4" w:rsidRDefault="00E33265">
    <w:pPr>
      <w:jc w:val="right"/>
    </w:pPr>
    <w:r>
      <w:rPr>
        <w:noProof/>
      </w:rPr>
      <w:drawing>
        <wp:anchor distT="0" distB="0" distL="0" distR="0" simplePos="0" relativeHeight="251658240" behindDoc="1" locked="0" layoutInCell="1" hidden="0" allowOverlap="1" wp14:anchorId="3F24E017" wp14:editId="04B59F29">
          <wp:simplePos x="0" y="0"/>
          <wp:positionH relativeFrom="column">
            <wp:posOffset>4143375</wp:posOffset>
          </wp:positionH>
          <wp:positionV relativeFrom="paragraph">
            <wp:posOffset>-419097</wp:posOffset>
          </wp:positionV>
          <wp:extent cx="1795463" cy="394196"/>
          <wp:effectExtent l="0" t="0" r="0" b="0"/>
          <wp:wrapNone/>
          <wp:docPr id="13"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1"/>
                  <a:srcRect/>
                  <a:stretch>
                    <a:fillRect/>
                  </a:stretch>
                </pic:blipFill>
                <pic:spPr>
                  <a:xfrm>
                    <a:off x="0" y="0"/>
                    <a:ext cx="1795463" cy="394196"/>
                  </a:xfrm>
                  <a:prstGeom prst="rect">
                    <a:avLst/>
                  </a:prstGeom>
                  <a:ln/>
                </pic:spPr>
              </pic:pic>
            </a:graphicData>
          </a:graphic>
        </wp:anchor>
      </w:drawing>
    </w:r>
    <w:r>
      <w:rPr>
        <w:noProof/>
      </w:rPr>
      <w:drawing>
        <wp:anchor distT="0" distB="0" distL="0" distR="0" simplePos="0" relativeHeight="251659264" behindDoc="1" locked="0" layoutInCell="1" hidden="0" allowOverlap="1" wp14:anchorId="46A7A257" wp14:editId="280BB128">
          <wp:simplePos x="0" y="0"/>
          <wp:positionH relativeFrom="column">
            <wp:posOffset>1</wp:posOffset>
          </wp:positionH>
          <wp:positionV relativeFrom="paragraph">
            <wp:posOffset>-457197</wp:posOffset>
          </wp:positionV>
          <wp:extent cx="1777466" cy="463276"/>
          <wp:effectExtent l="0" t="0" r="0" b="0"/>
          <wp:wrapNone/>
          <wp:docPr id="24"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2"/>
                  <a:srcRect/>
                  <a:stretch>
                    <a:fillRect/>
                  </a:stretch>
                </pic:blipFill>
                <pic:spPr>
                  <a:xfrm>
                    <a:off x="0" y="0"/>
                    <a:ext cx="1777466" cy="463276"/>
                  </a:xfrm>
                  <a:prstGeom prst="rect">
                    <a:avLst/>
                  </a:prstGeom>
                  <a:ln/>
                </pic:spPr>
              </pic:pic>
            </a:graphicData>
          </a:graphic>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hyphenationZone w:val="283"/>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75DA4"/>
    <w:rsid w:val="00875DA4"/>
    <w:rsid w:val="00D324AD"/>
    <w:rsid w:val="00E33265"/>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14:docId w14:val="5EDB9F50"/>
  <w15:docId w15:val="{235C68B1-106B-4B8A-9003-DFE505CE0F9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 w:eastAsia="it-IT"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style>
  <w:style w:type="paragraph" w:styleId="Titolo1">
    <w:name w:val="heading 1"/>
    <w:basedOn w:val="Normale"/>
    <w:next w:val="Normale"/>
    <w:uiPriority w:val="9"/>
    <w:qFormat/>
    <w:pPr>
      <w:keepNext/>
      <w:keepLines/>
      <w:spacing w:before="400" w:after="120"/>
      <w:outlineLvl w:val="0"/>
    </w:pPr>
    <w:rPr>
      <w:sz w:val="40"/>
      <w:szCs w:val="40"/>
    </w:rPr>
  </w:style>
  <w:style w:type="paragraph" w:styleId="Titolo2">
    <w:name w:val="heading 2"/>
    <w:basedOn w:val="Normale"/>
    <w:next w:val="Normale"/>
    <w:uiPriority w:val="9"/>
    <w:semiHidden/>
    <w:unhideWhenUsed/>
    <w:qFormat/>
    <w:pPr>
      <w:keepNext/>
      <w:keepLines/>
      <w:spacing w:before="360" w:after="120"/>
      <w:outlineLvl w:val="1"/>
    </w:pPr>
    <w:rPr>
      <w:sz w:val="32"/>
      <w:szCs w:val="32"/>
    </w:rPr>
  </w:style>
  <w:style w:type="paragraph" w:styleId="Titolo3">
    <w:name w:val="heading 3"/>
    <w:basedOn w:val="Normale"/>
    <w:next w:val="Normale"/>
    <w:uiPriority w:val="9"/>
    <w:semiHidden/>
    <w:unhideWhenUsed/>
    <w:qFormat/>
    <w:pPr>
      <w:keepNext/>
      <w:keepLines/>
      <w:spacing w:before="320" w:after="80"/>
      <w:outlineLvl w:val="2"/>
    </w:pPr>
    <w:rPr>
      <w:color w:val="434343"/>
      <w:sz w:val="28"/>
      <w:szCs w:val="28"/>
    </w:rPr>
  </w:style>
  <w:style w:type="paragraph" w:styleId="Titolo4">
    <w:name w:val="heading 4"/>
    <w:basedOn w:val="Normale"/>
    <w:next w:val="Normale"/>
    <w:uiPriority w:val="9"/>
    <w:semiHidden/>
    <w:unhideWhenUsed/>
    <w:qFormat/>
    <w:pPr>
      <w:keepNext/>
      <w:keepLines/>
      <w:spacing w:before="280" w:after="80"/>
      <w:outlineLvl w:val="3"/>
    </w:pPr>
    <w:rPr>
      <w:color w:val="666666"/>
      <w:sz w:val="24"/>
      <w:szCs w:val="24"/>
    </w:rPr>
  </w:style>
  <w:style w:type="paragraph" w:styleId="Titolo5">
    <w:name w:val="heading 5"/>
    <w:basedOn w:val="Normale"/>
    <w:next w:val="Normale"/>
    <w:uiPriority w:val="9"/>
    <w:semiHidden/>
    <w:unhideWhenUsed/>
    <w:qFormat/>
    <w:pPr>
      <w:keepNext/>
      <w:keepLines/>
      <w:spacing w:before="240" w:after="80"/>
      <w:outlineLvl w:val="4"/>
    </w:pPr>
    <w:rPr>
      <w:color w:val="666666"/>
    </w:rPr>
  </w:style>
  <w:style w:type="paragraph" w:styleId="Titolo6">
    <w:name w:val="heading 6"/>
    <w:basedOn w:val="Normale"/>
    <w:next w:val="Normale"/>
    <w:uiPriority w:val="9"/>
    <w:semiHidden/>
    <w:unhideWhenUsed/>
    <w:qFormat/>
    <w:pPr>
      <w:keepNext/>
      <w:keepLines/>
      <w:spacing w:before="240" w:after="80"/>
      <w:outlineLvl w:val="5"/>
    </w:pPr>
    <w:rPr>
      <w:i/>
      <w:iCs/>
      <w:color w:val="666666"/>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itolo">
    <w:name w:val="Title"/>
    <w:basedOn w:val="Normale"/>
    <w:next w:val="Normale"/>
    <w:uiPriority w:val="10"/>
    <w:qFormat/>
    <w:pPr>
      <w:keepNext/>
      <w:keepLines/>
      <w:spacing w:after="60"/>
    </w:pPr>
    <w:rPr>
      <w:sz w:val="52"/>
      <w:szCs w:val="52"/>
    </w:rPr>
  </w:style>
  <w:style w:type="table" w:customStyle="1" w:styleId="TableNormal0">
    <w:name w:val="TableNormal"/>
    <w:tblPr>
      <w:tblCellMar>
        <w:top w:w="100" w:type="dxa"/>
        <w:left w:w="100" w:type="dxa"/>
        <w:bottom w:w="100" w:type="dxa"/>
        <w:right w:w="100" w:type="dxa"/>
      </w:tblCellMar>
    </w:tblPr>
  </w:style>
  <w:style w:type="table" w:customStyle="1" w:styleId="TableNormal1">
    <w:name w:val="TableNormal"/>
    <w:tblPr>
      <w:tblCellMar>
        <w:top w:w="100" w:type="dxa"/>
        <w:left w:w="100" w:type="dxa"/>
        <w:bottom w:w="100" w:type="dxa"/>
        <w:right w:w="100" w:type="dxa"/>
      </w:tblCellMar>
    </w:tblPr>
  </w:style>
  <w:style w:type="table" w:customStyle="1" w:styleId="TableNormal2">
    <w:name w:val="TableNormal"/>
    <w:tblPr>
      <w:tblCellMar>
        <w:top w:w="100" w:type="dxa"/>
        <w:left w:w="100" w:type="dxa"/>
        <w:bottom w:w="100" w:type="dxa"/>
        <w:right w:w="100" w:type="dxa"/>
      </w:tblCellMar>
    </w:tblPr>
  </w:style>
  <w:style w:type="table" w:customStyle="1" w:styleId="TableNormal3">
    <w:name w:val="TableNormal"/>
    <w:tblPr>
      <w:tblCellMar>
        <w:top w:w="100" w:type="dxa"/>
        <w:left w:w="100" w:type="dxa"/>
        <w:bottom w:w="100" w:type="dxa"/>
        <w:right w:w="100" w:type="dxa"/>
      </w:tblCellMar>
    </w:tblPr>
  </w:style>
  <w:style w:type="paragraph" w:styleId="Testofumetto">
    <w:name w:val="Balloon Text"/>
    <w:basedOn w:val="Normale"/>
    <w:link w:val="TestofumettoCarattere"/>
    <w:uiPriority w:val="99"/>
    <w:semiHidden/>
    <w:unhideWhenUsed/>
    <w:rsid w:val="00884A7A"/>
    <w:pPr>
      <w:spacing w:line="240" w:lineRule="auto"/>
    </w:pPr>
    <w:rPr>
      <w:rFonts w:ascii="Times New Roman" w:hAnsi="Times New Roman" w:cs="Times New Roman"/>
      <w:sz w:val="18"/>
      <w:szCs w:val="18"/>
    </w:rPr>
  </w:style>
  <w:style w:type="character" w:customStyle="1" w:styleId="TestofumettoCarattere">
    <w:name w:val="Testo fumetto Carattere"/>
    <w:basedOn w:val="Carpredefinitoparagrafo"/>
    <w:link w:val="Testofumetto"/>
    <w:uiPriority w:val="99"/>
    <w:semiHidden/>
    <w:rsid w:val="00884A7A"/>
    <w:rPr>
      <w:rFonts w:ascii="Times New Roman" w:hAnsi="Times New Roman" w:cs="Times New Roman"/>
      <w:sz w:val="18"/>
      <w:szCs w:val="18"/>
    </w:rPr>
  </w:style>
  <w:style w:type="character" w:styleId="Rimandocommento">
    <w:name w:val="annotation reference"/>
    <w:basedOn w:val="Carpredefinitoparagrafo"/>
    <w:uiPriority w:val="99"/>
    <w:semiHidden/>
    <w:unhideWhenUsed/>
    <w:rsid w:val="00052CBD"/>
    <w:rPr>
      <w:sz w:val="16"/>
      <w:szCs w:val="16"/>
    </w:rPr>
  </w:style>
  <w:style w:type="paragraph" w:styleId="Testocommento">
    <w:name w:val="annotation text"/>
    <w:basedOn w:val="Normale"/>
    <w:link w:val="TestocommentoCarattere"/>
    <w:uiPriority w:val="99"/>
    <w:semiHidden/>
    <w:unhideWhenUsed/>
    <w:rsid w:val="00052CBD"/>
    <w:pPr>
      <w:spacing w:line="240" w:lineRule="auto"/>
    </w:pPr>
    <w:rPr>
      <w:sz w:val="20"/>
      <w:szCs w:val="20"/>
    </w:rPr>
  </w:style>
  <w:style w:type="character" w:customStyle="1" w:styleId="TestocommentoCarattere">
    <w:name w:val="Testo commento Carattere"/>
    <w:basedOn w:val="Carpredefinitoparagrafo"/>
    <w:link w:val="Testocommento"/>
    <w:uiPriority w:val="99"/>
    <w:semiHidden/>
    <w:rsid w:val="00052CBD"/>
    <w:rPr>
      <w:sz w:val="20"/>
      <w:szCs w:val="20"/>
    </w:rPr>
  </w:style>
  <w:style w:type="paragraph" w:styleId="Soggettocommento">
    <w:name w:val="annotation subject"/>
    <w:basedOn w:val="Testocommento"/>
    <w:next w:val="Testocommento"/>
    <w:link w:val="SoggettocommentoCarattere"/>
    <w:uiPriority w:val="99"/>
    <w:semiHidden/>
    <w:unhideWhenUsed/>
    <w:rsid w:val="00052CBD"/>
    <w:rPr>
      <w:b/>
      <w:bCs/>
    </w:rPr>
  </w:style>
  <w:style w:type="character" w:customStyle="1" w:styleId="SoggettocommentoCarattere">
    <w:name w:val="Soggetto commento Carattere"/>
    <w:basedOn w:val="TestocommentoCarattere"/>
    <w:link w:val="Soggettocommento"/>
    <w:uiPriority w:val="99"/>
    <w:semiHidden/>
    <w:rsid w:val="00052CBD"/>
    <w:rPr>
      <w:b/>
      <w:bCs/>
      <w:sz w:val="20"/>
      <w:szCs w:val="20"/>
    </w:rPr>
  </w:style>
  <w:style w:type="paragraph" w:styleId="Revisione">
    <w:name w:val="Revision"/>
    <w:hidden/>
    <w:uiPriority w:val="99"/>
    <w:semiHidden/>
    <w:rsid w:val="003241CB"/>
    <w:pPr>
      <w:spacing w:line="240" w:lineRule="auto"/>
    </w:pPr>
  </w:style>
  <w:style w:type="table" w:customStyle="1" w:styleId="a">
    <w:basedOn w:val="Tabellanormale"/>
    <w:tblPr>
      <w:tblStyleRowBandSize w:val="1"/>
      <w:tblStyleColBandSize w:val="1"/>
    </w:tblPr>
  </w:style>
  <w:style w:type="paragraph" w:styleId="Sottotitolo">
    <w:name w:val="Subtitle"/>
    <w:basedOn w:val="Normale"/>
    <w:next w:val="Normale"/>
    <w:uiPriority w:val="11"/>
    <w:qFormat/>
    <w:pPr>
      <w:keepNext/>
      <w:keepLines/>
      <w:spacing w:after="320"/>
    </w:pPr>
    <w:rPr>
      <w:color w:val="666666"/>
      <w:sz w:val="30"/>
      <w:szCs w:val="30"/>
    </w:rPr>
  </w:style>
  <w:style w:type="table" w:customStyle="1" w:styleId="a0">
    <w:basedOn w:val="Tabellanormale"/>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2.jpg"/><Relationship Id="rId13" Type="http://schemas.openxmlformats.org/officeDocument/2006/relationships/image" Target="media/image5.png"/><Relationship Id="rId18" Type="http://schemas.openxmlformats.org/officeDocument/2006/relationships/image" Target="media/image10.png"/><Relationship Id="rId3" Type="http://schemas.openxmlformats.org/officeDocument/2006/relationships/settings" Target="settings.xml"/><Relationship Id="rId21" Type="http://schemas.openxmlformats.org/officeDocument/2006/relationships/theme" Target="theme/theme1.xml"/><Relationship Id="rId7" Type="http://schemas.openxmlformats.org/officeDocument/2006/relationships/image" Target="media/image1.jpg"/><Relationship Id="rId12" Type="http://schemas.openxmlformats.org/officeDocument/2006/relationships/image" Target="media/image4.png"/><Relationship Id="rId17" Type="http://schemas.openxmlformats.org/officeDocument/2006/relationships/image" Target="media/image9.png"/><Relationship Id="rId2" Type="http://schemas.openxmlformats.org/officeDocument/2006/relationships/styles" Target="styles.xml"/><Relationship Id="rId16" Type="http://schemas.openxmlformats.org/officeDocument/2006/relationships/image" Target="media/image8.jp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3.png"/><Relationship Id="rId5" Type="http://schemas.openxmlformats.org/officeDocument/2006/relationships/footnotes" Target="footnotes.xml"/><Relationship Id="rId15" Type="http://schemas.openxmlformats.org/officeDocument/2006/relationships/image" Target="media/image7.png"/><Relationship Id="rId10" Type="http://schemas.openxmlformats.org/officeDocument/2006/relationships/hyperlink" Target="http://www.tba21.org/academy" TargetMode="External"/><Relationship Id="rId19"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hyperlink" Target="mailto:press@ocean-space.org" TargetMode="External"/><Relationship Id="rId14" Type="http://schemas.openxmlformats.org/officeDocument/2006/relationships/image" Target="media/image6.png"/></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2" Type="http://schemas.openxmlformats.org/officeDocument/2006/relationships/image" Target="media/image12.png"/><Relationship Id="rId1" Type="http://schemas.openxmlformats.org/officeDocument/2006/relationships/image" Target="media/image1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LUWermSKgzECLQKKelCXXf5+Drg==">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</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10</Pages>
  <Words>3397</Words>
  <Characters>19367</Characters>
  <Application>Microsoft Office Word</Application>
  <DocSecurity>0</DocSecurity>
  <Lines>161</Lines>
  <Paragraphs>45</Paragraphs>
  <ScaleCrop>false</ScaleCrop>
  <Company/>
  <LinksUpToDate>false</LinksUpToDate>
  <CharactersWithSpaces>22719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Traviglia Federica</cp:lastModifiedBy>
  <cp:revision>2</cp:revision>
  <dcterms:created xsi:type="dcterms:W3CDTF">2026-03-06T08:05:00Z</dcterms:created>
  <dcterms:modified xsi:type="dcterms:W3CDTF">2026-03-26T16:47:00Z</dcterms:modified>
</cp:coreProperties>
</file>